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управления энергетики и тарифов Липецкой обл. от 29.11.2024 N 57/3</w:t>
              <w:br/>
              <w:t xml:space="preserve">"Об установлении стандартизированных тарифных ставок и формул платы за технологическое присоединение к электрическим сетям территориальных сетевых организаций, осуществляющих свою деятельность на территории Липецкой области, на 2025 год"</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31.07.2025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0"/>
        <w:jc w:val="both"/>
      </w:pPr>
      <w:r>
        <w:rPr>
          <w:sz w:val="24"/>
        </w:rPr>
      </w:r>
    </w:p>
    <w:p>
      <w:pPr>
        <w:pStyle w:val="2"/>
        <w:outlineLvl w:val="0"/>
        <w:jc w:val="center"/>
      </w:pPr>
      <w:r>
        <w:rPr>
          <w:sz w:val="24"/>
        </w:rPr>
        <w:t xml:space="preserve">УПРАВЛЕНИЕ ЭНЕРГЕТИКИ И ТАРИФОВ</w:t>
      </w:r>
    </w:p>
    <w:p>
      <w:pPr>
        <w:pStyle w:val="2"/>
        <w:jc w:val="center"/>
      </w:pPr>
      <w:r>
        <w:rPr>
          <w:sz w:val="24"/>
        </w:rPr>
        <w:t xml:space="preserve">ЛИПЕЦКОЙ ОБЛАСТИ</w:t>
      </w:r>
    </w:p>
    <w:p>
      <w:pPr>
        <w:pStyle w:val="2"/>
        <w:jc w:val="both"/>
      </w:pPr>
      <w:r>
        <w:rPr>
          <w:sz w:val="24"/>
        </w:rPr>
      </w:r>
    </w:p>
    <w:p>
      <w:pPr>
        <w:pStyle w:val="2"/>
        <w:jc w:val="center"/>
      </w:pPr>
      <w:r>
        <w:rPr>
          <w:sz w:val="24"/>
        </w:rPr>
        <w:t xml:space="preserve">ПОСТАНОВЛЕНИЕ</w:t>
      </w:r>
    </w:p>
    <w:p>
      <w:pPr>
        <w:pStyle w:val="2"/>
        <w:jc w:val="center"/>
      </w:pPr>
      <w:r>
        <w:rPr>
          <w:sz w:val="24"/>
        </w:rPr>
        <w:t xml:space="preserve">от 29 ноября 2024 г. N 57/3</w:t>
      </w:r>
    </w:p>
    <w:p>
      <w:pPr>
        <w:pStyle w:val="2"/>
        <w:jc w:val="both"/>
      </w:pPr>
      <w:r>
        <w:rPr>
          <w:sz w:val="24"/>
        </w:rPr>
      </w:r>
    </w:p>
    <w:p>
      <w:pPr>
        <w:pStyle w:val="2"/>
        <w:jc w:val="center"/>
      </w:pPr>
      <w:r>
        <w:rPr>
          <w:sz w:val="24"/>
        </w:rPr>
        <w:t xml:space="preserve">ОБ УСТАНОВЛЕНИИ СТАНДАРТИЗИРОВАННЫХ ТАРИФНЫХ СТАВОК И ФОРМУЛ</w:t>
      </w:r>
    </w:p>
    <w:p>
      <w:pPr>
        <w:pStyle w:val="2"/>
        <w:jc w:val="center"/>
      </w:pPr>
      <w:r>
        <w:rPr>
          <w:sz w:val="24"/>
        </w:rPr>
        <w:t xml:space="preserve">ПЛАТЫ ЗА ТЕХНОЛОГИЧЕСКОЕ ПРИСОЕДИНЕНИЕ К ЭЛЕКТРИЧЕСКИМ СЕТЯМ</w:t>
      </w:r>
    </w:p>
    <w:p>
      <w:pPr>
        <w:pStyle w:val="2"/>
        <w:jc w:val="center"/>
      </w:pPr>
      <w:r>
        <w:rPr>
          <w:sz w:val="24"/>
        </w:rPr>
        <w:t xml:space="preserve">ТЕРРИТОРИАЛЬНЫХ СЕТЕВЫХ ОРГАНИЗАЦИЙ, ОСУЩЕСТВЛЯЮЩИХ СВОЮ</w:t>
      </w:r>
    </w:p>
    <w:p>
      <w:pPr>
        <w:pStyle w:val="2"/>
        <w:jc w:val="center"/>
      </w:pPr>
      <w:r>
        <w:rPr>
          <w:sz w:val="24"/>
        </w:rPr>
        <w:t xml:space="preserve">ДЕЯТЕЛЬНОСТЬ НА ТЕРРИТОРИИ ЛИПЕЦКОЙ ОБЛАСТИ, НА 2025 ГОД</w:t>
      </w:r>
    </w:p>
    <w:p>
      <w:pPr>
        <w:pStyle w:val="0"/>
        <w:jc w:val="both"/>
      </w:pPr>
      <w:r>
        <w:rPr>
          <w:sz w:val="24"/>
        </w:rPr>
      </w:r>
    </w:p>
    <w:p>
      <w:pPr>
        <w:pStyle w:val="0"/>
        <w:ind w:firstLine="540"/>
        <w:jc w:val="both"/>
      </w:pPr>
      <w:r>
        <w:rPr>
          <w:sz w:val="24"/>
        </w:rPr>
        <w:t xml:space="preserve">В соответствии с Федеральным </w:t>
      </w:r>
      <w:hyperlink w:history="0" r:id="rId7"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законом</w:t>
        </w:r>
      </w:hyperlink>
      <w:r>
        <w:rPr>
          <w:sz w:val="24"/>
        </w:rPr>
        <w:t xml:space="preserve"> от 26 марта 2003 года N 35-ФЗ "Об электроэнергетике", </w:t>
      </w:r>
      <w:hyperlink w:history="0" r:id="rId8"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КонсультантПлюс}">
        <w:r>
          <w:rPr>
            <w:sz w:val="24"/>
            <w:color w:val="0000ff"/>
          </w:rPr>
          <w:t xml:space="preserve">постановлением</w:t>
        </w:r>
      </w:hyperlink>
      <w:r>
        <w:rPr>
          <w:sz w:val="24"/>
        </w:rPr>
        <w:t xml:space="preserve"> Правительства Российской Федерации от 29 декабря 2011 года N 1178 "О ценообразовании в области регулируемых цен (тарифов) в электроэнергетике", </w:t>
      </w:r>
      <w:hyperlink w:history="0" r:id="rId9"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постановлением</w:t>
        </w:r>
      </w:hyperlink>
      <w:r>
        <w:rPr>
          <w:sz w:val="24"/>
        </w:rPr>
        <w:t xml:space="preserve"> Правительства Российской Федерации от 27 декабря 2004 года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w:t>
      </w:r>
      <w:hyperlink w:history="0" r:id="rId10" w:tooltip="Приказ ФАС России от 30.06.2022 N 490/22 (ред. от 13.11.2024) &quot;Об утверждении Методических указаний по определению размера платы за технологическое присоединение к электрическим сетям&quot; (Зарегистрировано в Минюсте России 19.08.2022 N 69710) {КонсультантПлюс}">
        <w:r>
          <w:rPr>
            <w:sz w:val="24"/>
            <w:color w:val="0000ff"/>
          </w:rPr>
          <w:t xml:space="preserve">приказом</w:t>
        </w:r>
      </w:hyperlink>
      <w:r>
        <w:rPr>
          <w:sz w:val="24"/>
        </w:rPr>
        <w:t xml:space="preserve"> ФАС России от 30 июня 2022 года N 490/22 "Об утверждении Методических указаний по определению размера платы за технологическое присоединение к электрическим сетям", </w:t>
      </w:r>
      <w:hyperlink w:history="0" r:id="rId11" w:tooltip="Приказ ФСТ России от 11.09.2014 N 215-э/1 (ред. от 09.10.2024) &quot;Об утверждении Методических указаний по определению выпадающих доходов, связанных с осуществлением технологического присоединения к электрическим сетям&quot; (Зарегистрировано в Минюсте России 14.10.2014 N 34297) {КонсультантПлюс}">
        <w:r>
          <w:rPr>
            <w:sz w:val="24"/>
            <w:color w:val="0000ff"/>
          </w:rPr>
          <w:t xml:space="preserve">приказом</w:t>
        </w:r>
      </w:hyperlink>
      <w:r>
        <w:rPr>
          <w:sz w:val="24"/>
        </w:rPr>
        <w:t xml:space="preserve"> ФСТ России от 11 сентября 2014 года N 215-э/1 "Об утверждении Методических указаний по определению выпадающих доходов, связанных с осуществлением технологического присоединения к электрическим сетям", </w:t>
      </w:r>
      <w:hyperlink w:history="0" r:id="rId12" w:tooltip="Постановление Правительства Липецкой обл. от 04.04.2024 N 229 (ред. от 15.01.2025) &quot;Об утверждении Положения о министерстве энергетики и тарифов Липецкой области&quot; {КонсультантПлюс}">
        <w:r>
          <w:rPr>
            <w:sz w:val="24"/>
            <w:color w:val="0000ff"/>
          </w:rPr>
          <w:t xml:space="preserve">постановлением</w:t>
        </w:r>
      </w:hyperlink>
      <w:r>
        <w:rPr>
          <w:sz w:val="24"/>
        </w:rPr>
        <w:t xml:space="preserve"> Правительства Липецкой области от 4 апреля 2024 года N 229 "Об утверждении Положения об управлении энергетики и тарифов Липецкой области", протоколом заседания коллегии управления энергетики и тарифов Липецкой области от 29 ноября 2024 года N 57/3 управление энергетики и тарифов Липецкой области постановляет:</w:t>
      </w:r>
    </w:p>
    <w:p>
      <w:pPr>
        <w:pStyle w:val="0"/>
        <w:spacing w:before="240" w:line-rule="auto"/>
        <w:ind w:firstLine="540"/>
        <w:jc w:val="both"/>
      </w:pPr>
      <w:r>
        <w:rPr>
          <w:sz w:val="24"/>
        </w:rPr>
        <w:t xml:space="preserve">1. Установить и ввести в действие для расчета платы за технологическое присоединение энергопринимающих устройств заявителей к электрическим сетям территориальных сетевых организаций, осуществляющих свою деятельность на территории Липецкой области, с 1 января 2025 года по 31 декабря 2025 года единые для всех территориальных сетевых организаций, осуществляющих свою деятельность на территории Липецкой области:</w:t>
      </w:r>
    </w:p>
    <w:p>
      <w:pPr>
        <w:pStyle w:val="0"/>
        <w:spacing w:before="240" w:line-rule="auto"/>
        <w:ind w:firstLine="540"/>
        <w:jc w:val="both"/>
      </w:pPr>
      <w:r>
        <w:rPr>
          <w:sz w:val="24"/>
        </w:rPr>
        <w:t xml:space="preserve">1) стандартизированные тарифные </w:t>
      </w:r>
      <w:hyperlink w:history="0" w:anchor="P66" w:tooltip="СТАНДАРТИЗИРОВАННЫЕ ТАРИФНЫЕ СТАВКИ ДЛЯ РАСЧЕТА ПЛАТЫ">
        <w:r>
          <w:rPr>
            <w:sz w:val="24"/>
            <w:color w:val="0000ff"/>
          </w:rPr>
          <w:t xml:space="preserve">ставки</w:t>
        </w:r>
      </w:hyperlink>
      <w:r>
        <w:rPr>
          <w:sz w:val="24"/>
        </w:rPr>
        <w:t xml:space="preserve"> (приложение 1);</w:t>
      </w:r>
    </w:p>
    <w:p>
      <w:pPr>
        <w:pStyle w:val="0"/>
        <w:spacing w:before="240" w:line-rule="auto"/>
        <w:ind w:firstLine="540"/>
        <w:jc w:val="both"/>
      </w:pPr>
      <w:r>
        <w:rPr>
          <w:sz w:val="24"/>
        </w:rPr>
        <w:t xml:space="preserve">2) </w:t>
      </w:r>
      <w:hyperlink w:history="0" w:anchor="P134" w:tooltip="ФОРМУЛЫ ПЛАТЫ ЗА ТЕХНОЛОГИЧЕСКОЕ ПРИСОЕДИНЕНИЕ">
        <w:r>
          <w:rPr>
            <w:sz w:val="24"/>
            <w:color w:val="0000ff"/>
          </w:rPr>
          <w:t xml:space="preserve">формулы</w:t>
        </w:r>
      </w:hyperlink>
      <w:r>
        <w:rPr>
          <w:sz w:val="24"/>
        </w:rPr>
        <w:t xml:space="preserve"> платы за технологическое присоединение (приложение 2).</w:t>
      </w:r>
    </w:p>
    <w:p>
      <w:pPr>
        <w:pStyle w:val="0"/>
        <w:spacing w:before="240" w:line-rule="auto"/>
        <w:ind w:firstLine="540"/>
        <w:jc w:val="both"/>
      </w:pPr>
      <w:r>
        <w:rPr>
          <w:sz w:val="24"/>
        </w:rPr>
        <w:t xml:space="preserve">2. Установить льготные ставки за 1 кВт запрашиваемой максимальной мощности в отношении всей совокупности мероприятий по технологическому присоединению к электрическим сетям сетевых организаций на территории Липецкой области с 1 января 2025 года по 31 декабря 2025 года в следующих размерах:</w:t>
      </w:r>
    </w:p>
    <w:bookmarkStart w:id="17" w:name="P17"/>
    <w:bookmarkEnd w:id="17"/>
    <w:p>
      <w:pPr>
        <w:pStyle w:val="0"/>
        <w:spacing w:before="240" w:line-rule="auto"/>
        <w:ind w:firstLine="540"/>
        <w:jc w:val="both"/>
      </w:pPr>
      <w:r>
        <w:rPr>
          <w:sz w:val="24"/>
        </w:rPr>
        <w:t xml:space="preserve">1) Р</w:t>
      </w:r>
      <w:r>
        <w:rPr>
          <w:sz w:val="24"/>
          <w:vertAlign w:val="subscript"/>
        </w:rPr>
        <w:t xml:space="preserve">(несоц)</w:t>
      </w:r>
      <w:r>
        <w:rPr>
          <w:sz w:val="24"/>
        </w:rPr>
        <w:t xml:space="preserve"> - 7 000,0 рубля за кВт (с учетом НДС) для определения стоимости мероприятий в случае технологического присоединения:</w:t>
      </w:r>
    </w:p>
    <w:p>
      <w:pPr>
        <w:pStyle w:val="0"/>
        <w:spacing w:before="240" w:line-rule="auto"/>
        <w:ind w:firstLine="540"/>
        <w:jc w:val="both"/>
      </w:pPr>
      <w:r>
        <w:rPr>
          <w:sz w:val="24"/>
        </w:rPr>
        <w:t xml:space="preserve">объектов микрогенерации заявителей - физических лиц, в том числе за одновременное технологическое присоединение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и объектов микрогенерации, отнесенных к третьей категории надежности (по одному источнику электроснабжения), присоединяемых к объектам электросетевого хозяйства сетевой организации на уровне напряжения 0,4 кВ и ниже, при условии, что расстояние от границ участка заявителя до ближайшего объекта электрической сети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pPr>
        <w:pStyle w:val="0"/>
        <w:spacing w:before="240" w:line-rule="auto"/>
        <w:ind w:firstLine="540"/>
        <w:jc w:val="both"/>
      </w:pPr>
      <w:r>
        <w:rPr>
          <w:sz w:val="24"/>
        </w:rPr>
        <w:t xml:space="preserve">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отнесенных к третьей категории надежности (по одному источнику электроснабжения), присоединяемых к объектам электросетевого хозяйства сетевой организации на уровне напряжения 0,4 кВ и ниже, при условии, что расстояние от границ участка заявителя до ближайшего объекта электрической сети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pPr>
        <w:pStyle w:val="0"/>
        <w:spacing w:before="240" w:line-rule="auto"/>
        <w:ind w:firstLine="540"/>
        <w:jc w:val="both"/>
      </w:pPr>
      <w:r>
        <w:rPr>
          <w:sz w:val="24"/>
        </w:rPr>
        <w:t xml:space="preserve">объектов микрогенерации заявителей - юридических лиц или индивидуальных предпринимателем, а также одновременного технологического присоединения объектов микрогенерации и энергопринимающих устройств максимальной мощностью до 150 кВт включительно (с учетом ранее присоединенных в данной точке присоединения энергопринимающих устройств), присоединяемых по третьей категории надежности к объектам электросетевого хозяйства сетевой организации на уровне напряжения 0,4 кВ и ниже, при условии, что расстояние от этих энергопринимающих устройств до существующих объектов электросетевого хозяйства сетевых организаций составляет не более 200 метров в городах и поселках городского типа и не более 300 метров в сельской местности;</w:t>
      </w:r>
    </w:p>
    <w:bookmarkStart w:id="21" w:name="P21"/>
    <w:bookmarkEnd w:id="21"/>
    <w:p>
      <w:pPr>
        <w:pStyle w:val="0"/>
        <w:spacing w:before="240" w:line-rule="auto"/>
        <w:ind w:firstLine="540"/>
        <w:jc w:val="both"/>
      </w:pPr>
      <w:r>
        <w:rPr>
          <w:sz w:val="24"/>
        </w:rPr>
        <w:t xml:space="preserve">2) Р</w:t>
      </w:r>
      <w:r>
        <w:rPr>
          <w:sz w:val="24"/>
          <w:vertAlign w:val="subscript"/>
        </w:rPr>
        <w:t xml:space="preserve">(соц)</w:t>
      </w:r>
      <w:r>
        <w:rPr>
          <w:sz w:val="24"/>
        </w:rPr>
        <w:t xml:space="preserve"> - 1 198,77 рубля за кВт (с учетом НДС) для определения стоимости мероприятий при заключении договора членом малоимущей семьи (одиноко проживающим гражданином), среднедушевой доход которого ниже величины прожиточного минимума, установленного в Липецкой области, определенным в соответствии с Федеральным </w:t>
      </w:r>
      <w:hyperlink w:history="0" r:id="rId13" w:tooltip="Федеральный закон от 24.10.1997 N 134-ФЗ (ред. от 29.12.2020, с изм. от 29.10.2024) &quot;О прожиточном минимуме в Российской Федерации&quot; {КонсультантПлюс}">
        <w:r>
          <w:rPr>
            <w:sz w:val="24"/>
            <w:color w:val="0000ff"/>
          </w:rPr>
          <w:t xml:space="preserve">законом</w:t>
        </w:r>
      </w:hyperlink>
      <w:r>
        <w:rPr>
          <w:sz w:val="24"/>
        </w:rPr>
        <w:t xml:space="preserve"> "О прожиточном минимуме в Российской Федерации", а также лицами, указанными в </w:t>
      </w:r>
      <w:hyperlink w:history="0" r:id="rId14" w:tooltip="Федеральный закон от 12.01.1995 N 5-ФЗ (ред. от 07.07.2025) &quot;О ветеранах&quot; {КонсультантПлюс}">
        <w:r>
          <w:rPr>
            <w:sz w:val="24"/>
            <w:color w:val="0000ff"/>
          </w:rPr>
          <w:t xml:space="preserve">статьях 14</w:t>
        </w:r>
      </w:hyperlink>
      <w:r>
        <w:rPr>
          <w:sz w:val="24"/>
        </w:rPr>
        <w:t xml:space="preserve"> - </w:t>
      </w:r>
      <w:hyperlink w:history="0" r:id="rId15" w:tooltip="Федеральный закон от 12.01.1995 N 5-ФЗ (ред. от 07.07.2025) &quot;О ветеранах&quot; {КонсультантПлюс}">
        <w:r>
          <w:rPr>
            <w:sz w:val="24"/>
            <w:color w:val="0000ff"/>
          </w:rPr>
          <w:t xml:space="preserve">16</w:t>
        </w:r>
      </w:hyperlink>
      <w:r>
        <w:rPr>
          <w:sz w:val="24"/>
        </w:rPr>
        <w:t xml:space="preserve">, </w:t>
      </w:r>
      <w:hyperlink w:history="0" r:id="rId16" w:tooltip="Федеральный закон от 12.01.1995 N 5-ФЗ (ред. от 07.07.2025) &quot;О ветеранах&quot; {КонсультантПлюс}">
        <w:r>
          <w:rPr>
            <w:sz w:val="24"/>
            <w:color w:val="0000ff"/>
          </w:rPr>
          <w:t xml:space="preserve">18</w:t>
        </w:r>
      </w:hyperlink>
      <w:r>
        <w:rPr>
          <w:sz w:val="24"/>
        </w:rPr>
        <w:t xml:space="preserve"> и </w:t>
      </w:r>
      <w:hyperlink w:history="0" r:id="rId17" w:tooltip="Федеральный закон от 12.01.1995 N 5-ФЗ (ред. от 07.07.2025) &quot;О ветеранах&quot; {КонсультантПлюс}">
        <w:r>
          <w:rPr>
            <w:sz w:val="24"/>
            <w:color w:val="0000ff"/>
          </w:rPr>
          <w:t xml:space="preserve">21</w:t>
        </w:r>
      </w:hyperlink>
      <w:r>
        <w:rPr>
          <w:sz w:val="24"/>
        </w:rPr>
        <w:t xml:space="preserve"> Федерального закона "О ветеранах", </w:t>
      </w:r>
      <w:hyperlink w:history="0" r:id="rId18" w:tooltip="Федеральный закон от 24.11.1995 N 181-ФЗ (ред. от 29.10.2024) &quot;О социальной защите инвалидов в Российской Федерации&quot; (с изм. и доп., вступ. в силу с 01.03.2025) {КонсультантПлюс}">
        <w:r>
          <w:rPr>
            <w:sz w:val="24"/>
            <w:color w:val="0000ff"/>
          </w:rPr>
          <w:t xml:space="preserve">статье 17</w:t>
        </w:r>
      </w:hyperlink>
      <w:r>
        <w:rPr>
          <w:sz w:val="24"/>
        </w:rPr>
        <w:t xml:space="preserve"> Федерального закона "О социальной защите инвалидов в Российской Федерации", </w:t>
      </w:r>
      <w:hyperlink w:history="0" r:id="rId19" w:tooltip="Закон РФ от 15.05.1991 N 1244-1 (ред. от 25.12.2023) &quot;О социальной защите граждан, подвергшихся воздействию радиации вследствие катастрофы на Чернобыльской АЭС&quot; {КонсультантПлюс}">
        <w:r>
          <w:rPr>
            <w:sz w:val="24"/>
            <w:color w:val="0000ff"/>
          </w:rPr>
          <w:t xml:space="preserve">статье 14</w:t>
        </w:r>
      </w:hyperlink>
      <w:r>
        <w:rPr>
          <w:sz w:val="24"/>
        </w:rPr>
        <w:t xml:space="preserve"> Закона Российской Федерации "О социальной защите граждан, подвергшихся воздействию радиации вследствие катастрофы на Чернобыльской АЭС", </w:t>
      </w:r>
      <w:hyperlink w:history="0" r:id="rId20" w:tooltip="Федеральный закон от 10.01.2002 N 2-ФЗ (ред. от 10.07.2023) &quot;О социальных гарантиях гражданам, подвергшимся радиационному воздействию вследствие ядерных испытаний на Семипалатинском полигоне&quot; (с изм. и доп., вступ. в силу с 01.07.2024) {КонсультантПлюс}">
        <w:r>
          <w:rPr>
            <w:sz w:val="24"/>
            <w:color w:val="0000ff"/>
          </w:rPr>
          <w:t xml:space="preserve">статье 2</w:t>
        </w:r>
      </w:hyperlink>
      <w:r>
        <w:rPr>
          <w:sz w:val="24"/>
        </w:rPr>
        <w:t xml:space="preserve"> Федерального закона "О социальных гарантиях гражданам, подвергшимся радиационному воздействию вследствие ядерных испытаний на Семипалатинском полигоне", </w:t>
      </w:r>
      <w:hyperlink w:history="0" r:id="rId21" w:tooltip="Федеральный закон от 22.08.2004 N 122-ФЗ (ред. от 07.06.2025)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4"/>
            <w:color w:val="0000ff"/>
          </w:rPr>
          <w:t xml:space="preserve">части 8 статьи 154</w:t>
        </w:r>
      </w:hyperlink>
      <w:r>
        <w:rPr>
          <w:sz w:val="24"/>
        </w:rPr>
        <w:t xml:space="preserve"> Федерального закона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w:t>
      </w:r>
      <w:hyperlink w:history="0" r:id="rId22" w:tooltip="Федеральный закон от 26.11.1998 N 175-ФЗ (ред. от 10.07.2023) &quot;О социальной защите граждан Российской Федерации, подвергшихся воздействию радиации вследствие аварии в 1957 году на производственном объединении &quot;Маяк&quot; и сбросов радиоактивных отходов в реку Теча&quot; (с изм. и доп., вступ. в силу с 01.07.2024) {КонсультантПлюс}">
        <w:r>
          <w:rPr>
            <w:sz w:val="24"/>
            <w:color w:val="0000ff"/>
          </w:rPr>
          <w:t xml:space="preserve">статье 1</w:t>
        </w:r>
      </w:hyperlink>
      <w:r>
        <w:rPr>
          <w:sz w:val="24"/>
        </w:rPr>
        <w:t xml:space="preserve"> Федерального закона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w:t>
      </w:r>
      <w:hyperlink w:history="0" r:id="rId23" w:tooltip="Постановление ВС РФ от 27.12.1991 N 2123-1 (ред. от 29.06.2015) &quot;О распространении действия Закона РСФСР &quot;О социальной защите граждан, подвергшихся воздействию радиации вследствие катастрофы на Чернобыльской АЭС&quot; на граждан из подразделений особого риска&quot; {КонсультантПлюс}">
        <w:r>
          <w:rPr>
            <w:sz w:val="24"/>
            <w:color w:val="0000ff"/>
          </w:rPr>
          <w:t xml:space="preserve">пункте 1</w:t>
        </w:r>
      </w:hyperlink>
      <w:r>
        <w:rPr>
          <w:sz w:val="24"/>
        </w:rPr>
        <w:t xml:space="preserve"> и </w:t>
      </w:r>
      <w:hyperlink w:history="0" r:id="rId24" w:tooltip="Постановление ВС РФ от 27.12.1991 N 2123-1 (ред. от 29.06.2015) &quot;О распространении действия Закона РСФСР &quot;О социальной защите граждан, подвергшихся воздействию радиации вследствие катастрофы на Чернобыльской АЭС&quot; на граждан из подразделений особого риска&quot; {КонсультантПлюс}">
        <w:r>
          <w:rPr>
            <w:sz w:val="24"/>
            <w:color w:val="0000ff"/>
          </w:rPr>
          <w:t xml:space="preserve">абзаце четвертом пункта 2</w:t>
        </w:r>
      </w:hyperlink>
      <w:r>
        <w:rPr>
          <w:sz w:val="24"/>
        </w:rPr>
        <w:t xml:space="preserve"> постановления Верховного Совета Российской Федерации от 27 декабря 1991 года N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 </w:t>
      </w:r>
      <w:hyperlink w:history="0" r:id="rId25" w:tooltip="Указ Президента РФ от 05.05.1992 N 431 (ред. от 25.02.2003) &quot;О мерах по социальной поддержке многодетных семей&quot; ------------ Утратил силу или отменен {КонсультантПлюс}">
        <w:r>
          <w:rPr>
            <w:sz w:val="24"/>
            <w:color w:val="0000ff"/>
          </w:rPr>
          <w:t xml:space="preserve">Указе</w:t>
        </w:r>
      </w:hyperlink>
      <w:r>
        <w:rPr>
          <w:sz w:val="24"/>
        </w:rPr>
        <w:t xml:space="preserve"> Президента Российской Федерации от 5 мая 1992 года N 431 "О мерах по социальной поддержке многодетных семей" в случае технологического присоединения:</w:t>
      </w:r>
    </w:p>
    <w:p>
      <w:pPr>
        <w:pStyle w:val="0"/>
        <w:spacing w:before="240" w:line-rule="auto"/>
        <w:ind w:firstLine="540"/>
        <w:jc w:val="both"/>
      </w:pPr>
      <w:r>
        <w:rPr>
          <w:sz w:val="24"/>
        </w:rPr>
        <w:t xml:space="preserve">объектов микрогенерации заявителей - физических лиц, в том числе за одновременное технологическое присоединение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и объектов микрогенерации, отнесенных к третьей категории надежности (по одному источнику электроснабжения), присоединяемых к объектам электросетевого хозяйства сетевой организации на уровне напряжения 0,4 кВ и ниже, при условии, что расстояние от границ участка заявителя до ближайшего объекта электрической сети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pPr>
        <w:pStyle w:val="0"/>
        <w:spacing w:before="240" w:line-rule="auto"/>
        <w:ind w:firstLine="540"/>
        <w:jc w:val="both"/>
      </w:pPr>
      <w:r>
        <w:rPr>
          <w:sz w:val="24"/>
        </w:rPr>
        <w:t xml:space="preserve">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отнесенных к третьей категории надежности (по одному источнику электроснабжения), присоединяемых к объектам электросетевого хозяйства сетевой организации на уровне напряжения 0,4 кВ и ниже, при условии, что расстояние от границ участка заявителя до ближайшего объекта электрической сети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pPr>
        <w:pStyle w:val="0"/>
        <w:spacing w:before="240" w:line-rule="auto"/>
        <w:ind w:firstLine="540"/>
        <w:jc w:val="both"/>
      </w:pPr>
      <w:r>
        <w:rPr>
          <w:sz w:val="24"/>
        </w:rPr>
        <w:t xml:space="preserve">Плата за технологическое присоединение для заявителей, указанных в </w:t>
      </w:r>
      <w:hyperlink w:history="0" w:anchor="P17" w:tooltip="1) Р(несоц) - 7 000,0 рубля за кВт (с учетом НДС) для определения стоимости мероприятий в случае технологического присоединения:">
        <w:r>
          <w:rPr>
            <w:sz w:val="24"/>
            <w:color w:val="0000ff"/>
          </w:rPr>
          <w:t xml:space="preserve">подпунктах 1</w:t>
        </w:r>
      </w:hyperlink>
      <w:r>
        <w:rPr>
          <w:sz w:val="24"/>
        </w:rPr>
        <w:t xml:space="preserve">, </w:t>
      </w:r>
      <w:hyperlink w:history="0" w:anchor="P21" w:tooltip="2) Р(соц) - 1 198,77 рубля за кВт (с учетом НДС) для определения стоимости мероприятий при заключении договора членом малоимущей семьи (одиноко проживающим гражданином), среднедушевой доход которого ниже величины прожиточного минимума, установленного в Липецкой области, определенным в соответствии с Федеральным законом &quot;О прожиточном минимуме в Российской Федерации&quot;, а также лицами, указанными в статьях 14 - 16, 18 и 21 Федерального закона &quot;О ветеранах&quot;, статье 17 Федерального закона &quot;О социальной защите...">
        <w:r>
          <w:rPr>
            <w:sz w:val="24"/>
            <w:color w:val="0000ff"/>
          </w:rPr>
          <w:t xml:space="preserve">2</w:t>
        </w:r>
      </w:hyperlink>
      <w:r>
        <w:rPr>
          <w:sz w:val="24"/>
        </w:rPr>
        <w:t xml:space="preserve"> настоящего пункта, определяется в размере минимального из следующих значений:</w:t>
      </w:r>
    </w:p>
    <w:p>
      <w:pPr>
        <w:pStyle w:val="0"/>
        <w:spacing w:before="240" w:line-rule="auto"/>
        <w:ind w:firstLine="540"/>
        <w:jc w:val="both"/>
      </w:pPr>
      <w:r>
        <w:rPr>
          <w:sz w:val="24"/>
        </w:rPr>
        <w:t xml:space="preserve">стоимость мероприятий по технологическому присоединению, рассчитанная с применением стандартизированных тарифных </w:t>
      </w:r>
      <w:hyperlink w:history="0" w:anchor="P66" w:tooltip="СТАНДАРТИЗИРОВАННЫЕ ТАРИФНЫЕ СТАВКИ ДЛЯ РАСЧЕТА ПЛАТЫ">
        <w:r>
          <w:rPr>
            <w:sz w:val="24"/>
            <w:color w:val="0000ff"/>
          </w:rPr>
          <w:t xml:space="preserve">ставок</w:t>
        </w:r>
      </w:hyperlink>
      <w:r>
        <w:rPr>
          <w:sz w:val="24"/>
        </w:rPr>
        <w:t xml:space="preserve"> (приложение 1);</w:t>
      </w:r>
    </w:p>
    <w:p>
      <w:pPr>
        <w:pStyle w:val="0"/>
        <w:spacing w:before="240" w:line-rule="auto"/>
        <w:ind w:firstLine="540"/>
        <w:jc w:val="both"/>
      </w:pPr>
      <w:r>
        <w:rPr>
          <w:sz w:val="24"/>
        </w:rPr>
        <w:t xml:space="preserve">стоимость мероприятий по технологическому присоединению, рассчитанная с применением льготной ставки за 1 кВт запрашиваемой максимальной мощности, которая устанавливается в отношении всей совокупности таких мероприятий для соответствующих случаев технологического присоединения.</w:t>
      </w:r>
    </w:p>
    <w:p>
      <w:pPr>
        <w:pStyle w:val="0"/>
        <w:spacing w:before="240" w:line-rule="auto"/>
        <w:ind w:firstLine="540"/>
        <w:jc w:val="both"/>
      </w:pPr>
      <w:r>
        <w:rPr>
          <w:sz w:val="24"/>
        </w:rPr>
        <w:t xml:space="preserve">Положения о размере платы за технологическое присоединение, указанные в </w:t>
      </w:r>
      <w:hyperlink w:history="0" r:id="rId26"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абзацах первом</w:t>
        </w:r>
      </w:hyperlink>
      <w:r>
        <w:rPr>
          <w:sz w:val="24"/>
        </w:rPr>
        <w:t xml:space="preserve"> - </w:t>
      </w:r>
      <w:hyperlink w:history="0" r:id="rId27"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двадцать втором</w:t>
        </w:r>
      </w:hyperlink>
      <w:r>
        <w:rPr>
          <w:sz w:val="24"/>
        </w:rPr>
        <w:t xml:space="preserve"> и </w:t>
      </w:r>
      <w:hyperlink w:history="0" r:id="rId28"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двадцать шестом пункта 17</w:t>
        </w:r>
      </w:hyperlink>
      <w:r>
        <w:rPr>
          <w:sz w:val="24"/>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(далее - Правила), утвержденных постановлением Правительства Российской Федерации от 27 декабря 2004 года N 861, не могут быть применены в следующих случаях:</w:t>
      </w:r>
    </w:p>
    <w:p>
      <w:pPr>
        <w:pStyle w:val="0"/>
        <w:spacing w:before="240" w:line-rule="auto"/>
        <w:ind w:firstLine="540"/>
        <w:jc w:val="both"/>
      </w:pPr>
      <w:r>
        <w:rPr>
          <w:sz w:val="24"/>
        </w:rPr>
        <w:t xml:space="preserve">при технологическом присоединении энергопринимающих устройств (объектов микрогенерации), принадлежащих лицам, которым права владения и (или) пользования земельным участком (в том числе при его использовании без предоставления на основании разрешения) и (или) объектом капитального строительства (нежилым помещением в объекте капитального строительства) предоставлены на срок не более одного года;</w:t>
      </w:r>
    </w:p>
    <w:p>
      <w:pPr>
        <w:pStyle w:val="0"/>
        <w:spacing w:before="240" w:line-rule="auto"/>
        <w:ind w:firstLine="540"/>
        <w:jc w:val="both"/>
      </w:pPr>
      <w:r>
        <w:rPr>
          <w:sz w:val="24"/>
        </w:rPr>
        <w:t xml:space="preserve">при технологическом присоединении энергопринимающих устройств (объектов микрогенерации), расположенных в жилых помещениях многоквартирных домов;</w:t>
      </w:r>
    </w:p>
    <w:p>
      <w:pPr>
        <w:pStyle w:val="0"/>
        <w:spacing w:before="240" w:line-rule="auto"/>
        <w:ind w:firstLine="540"/>
        <w:jc w:val="both"/>
      </w:pPr>
      <w:r>
        <w:rPr>
          <w:sz w:val="24"/>
        </w:rPr>
        <w:t xml:space="preserve">при технологическом присоединении в границах территории Липецкой области энергопринимающих устройств (объектов микрогенерации), соответствующих критериям, указанным в </w:t>
      </w:r>
      <w:hyperlink w:history="0" r:id="rId29"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абзацах первом</w:t>
        </w:r>
      </w:hyperlink>
      <w:r>
        <w:rPr>
          <w:sz w:val="24"/>
        </w:rPr>
        <w:t xml:space="preserve">, </w:t>
      </w:r>
      <w:hyperlink w:history="0" r:id="rId30"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четвертом</w:t>
        </w:r>
      </w:hyperlink>
      <w:r>
        <w:rPr>
          <w:sz w:val="24"/>
        </w:rPr>
        <w:t xml:space="preserve">, </w:t>
      </w:r>
      <w:hyperlink w:history="0" r:id="rId31"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пятом</w:t>
        </w:r>
      </w:hyperlink>
      <w:r>
        <w:rPr>
          <w:sz w:val="24"/>
        </w:rPr>
        <w:t xml:space="preserve">, </w:t>
      </w:r>
      <w:hyperlink w:history="0" r:id="rId32"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двадцатом</w:t>
        </w:r>
      </w:hyperlink>
      <w:r>
        <w:rPr>
          <w:sz w:val="24"/>
        </w:rPr>
        <w:t xml:space="preserve"> и </w:t>
      </w:r>
      <w:hyperlink w:history="0" r:id="rId33"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двадцать шестом пункта 17</w:t>
        </w:r>
      </w:hyperlink>
      <w:r>
        <w:rPr>
          <w:sz w:val="24"/>
        </w:rPr>
        <w:t xml:space="preserve"> Правил, если лицом, обратившимся с заявкой, ранее уже была подана заявка, которая не была аннулирована в соответствии с </w:t>
      </w:r>
      <w:hyperlink w:history="0" r:id="rId34"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или заключен договор в целях технологического присоединения энергопринимающих устройств (объектов микрогенерации), соответствующих указанным критериям, расположенных (предполагаемых к расположению в соответствии с поданной заявкой) в границах территории того же субъекта Российской Федерации, при условии, что со дня заключения такого договора не истекло 3 года;</w:t>
      </w:r>
    </w:p>
    <w:p>
      <w:pPr>
        <w:pStyle w:val="0"/>
        <w:spacing w:before="240" w:line-rule="auto"/>
        <w:ind w:firstLine="540"/>
        <w:jc w:val="both"/>
      </w:pPr>
      <w:r>
        <w:rPr>
          <w:sz w:val="24"/>
        </w:rPr>
        <w:t xml:space="preserve">при технологическом присоединении энергопринимающих устройств заявителей, указанных в </w:t>
      </w:r>
      <w:hyperlink w:history="0" r:id="rId35"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пункте 12(1)</w:t>
        </w:r>
      </w:hyperlink>
      <w:r>
        <w:rPr>
          <w:sz w:val="24"/>
        </w:rPr>
        <w:t xml:space="preserve"> Правил, соответствующих критериям, указанным в </w:t>
      </w:r>
      <w:hyperlink w:history="0" r:id="rId36"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абзаце двадцать шестом пункта 17</w:t>
        </w:r>
      </w:hyperlink>
      <w:r>
        <w:rPr>
          <w:sz w:val="24"/>
        </w:rPr>
        <w:t xml:space="preserve"> Правил, если они расположены (будут располагаться) в границах того же земельного участка (или в границах того же сервитута либо территории, используемой на основании разрешения без предоставления земельного участка или установления сервитута), на котором расположены (будут располагаться) энергопринимающие устройства, в отношении которых ранее уже была подана заявка, которая не была аннулирована в соответствии с </w:t>
      </w:r>
      <w:hyperlink w:history="0" r:id="rId37"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или заключен договор, предусматривающий установленные </w:t>
      </w:r>
      <w:hyperlink w:history="0" r:id="rId38"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абзацем двадцать шестым пункта 17</w:t>
        </w:r>
      </w:hyperlink>
      <w:r>
        <w:rPr>
          <w:sz w:val="24"/>
        </w:rPr>
        <w:t xml:space="preserve"> Правил особенности расчета платы за технологическое присоединение, при условии, что со дня заключения такого договора не истекло 3 года.</w:t>
      </w:r>
    </w:p>
    <w:p>
      <w:pPr>
        <w:pStyle w:val="0"/>
        <w:spacing w:before="240" w:line-rule="auto"/>
        <w:ind w:firstLine="540"/>
        <w:jc w:val="both"/>
      </w:pPr>
      <w:r>
        <w:rPr>
          <w:sz w:val="24"/>
        </w:rPr>
        <w:t xml:space="preserve">При определении в соответствии с </w:t>
      </w:r>
      <w:hyperlink w:history="0" r:id="rId39"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абзацами первым</w:t>
        </w:r>
      </w:hyperlink>
      <w:r>
        <w:rPr>
          <w:sz w:val="24"/>
        </w:rPr>
        <w:t xml:space="preserve"> - </w:t>
      </w:r>
      <w:hyperlink w:history="0" r:id="rId40"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двадцать вторым пункта 17</w:t>
        </w:r>
      </w:hyperlink>
      <w:r>
        <w:rPr>
          <w:sz w:val="24"/>
        </w:rPr>
        <w:t xml:space="preserve"> Правил размера платы за технологическое присоединение энергопринимающих устройств, принадлежащих гражданам, осуществляющим ведение садоводства или огородничества на земельных участках, расположенных в границах территории садоводства или огородничества, или иным правообладателям объектов недвижимости, расположенных в границах территории садоводства или огородничества, предусмотренное </w:t>
      </w:r>
      <w:hyperlink w:history="0" r:id="rId41"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абзацем первым пункта 17</w:t>
        </w:r>
      </w:hyperlink>
      <w:r>
        <w:rPr>
          <w:sz w:val="24"/>
        </w:rPr>
        <w:t xml:space="preserve"> Правил условие в части, касающейся расстояния до ближайшего объекта электрической сети необходимого заявителю класса напряжения, составляющего не более 300 метров в городах и поселках городского типа и не более 500 метров в сельской местности, применяется исходя из измерения расстояния по прямой линии от границы территории садоводства или огородничества до ближайшего объекта электрической сети сетевой организации, имеющего указанный в заявке класс напряжения.</w:t>
      </w:r>
    </w:p>
    <w:p>
      <w:pPr>
        <w:pStyle w:val="0"/>
        <w:spacing w:before="240" w:line-rule="auto"/>
        <w:ind w:firstLine="540"/>
        <w:jc w:val="both"/>
      </w:pPr>
      <w:r>
        <w:rPr>
          <w:sz w:val="24"/>
        </w:rPr>
        <w:t xml:space="preserve">3. Установить для филиала ПАО "Россети Центр" - "Липецкэнерго":</w:t>
      </w:r>
    </w:p>
    <w:p>
      <w:pPr>
        <w:pStyle w:val="0"/>
        <w:spacing w:before="240" w:line-rule="auto"/>
        <w:ind w:firstLine="540"/>
        <w:jc w:val="both"/>
      </w:pPr>
      <w:r>
        <w:rPr>
          <w:sz w:val="24"/>
        </w:rPr>
        <w:t xml:space="preserve">1) плановую величину выпадающих доходов от присоединений устройств максимальной мощностью, не превышающей 15 кВт включительно (с учетом ранее присоединенной в данной точке присоединения мощности) при технологическом присоединении по одному источнику электроснабжения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 для учета в тарифах на услуги по передаче электрической энергии на 2025 год в размере 276 176,60 тыс. руб. (без НДС);</w:t>
      </w:r>
    </w:p>
    <w:p>
      <w:pPr>
        <w:pStyle w:val="0"/>
        <w:spacing w:before="240" w:line-rule="auto"/>
        <w:ind w:firstLine="540"/>
        <w:jc w:val="both"/>
      </w:pPr>
      <w:r>
        <w:rPr>
          <w:sz w:val="24"/>
        </w:rPr>
        <w:t xml:space="preserve">2) плановую величину выпадающих доходов по мероприятиям "последней мили", связанным с осуществлением технологического присоединения энергопринимающих устройств максимальной мощностью до 150 кВт включительно, присоединяемых по третьей категории надежности (по одному источнику электроснабжения) к объектам электросетевого хозяйства сетевой организации на уровне напряжения 0,4 кВ и ниже, при условии, что расстояние от этих энергопринимающих устройств до ближайшего объекта электрической сети необходимого заявителю класса напряжения составляет не более 200 метров в городах и поселках городского типа и не более 300 метров в сельской местности, для учета в тарифах на услуги по передаче электрической энергии на 2025 год в размере 164 674,67 тыс. руб. (без НДС);</w:t>
      </w:r>
    </w:p>
    <w:p>
      <w:pPr>
        <w:pStyle w:val="0"/>
        <w:spacing w:before="240" w:line-rule="auto"/>
        <w:ind w:firstLine="540"/>
        <w:jc w:val="both"/>
      </w:pPr>
      <w:r>
        <w:rPr>
          <w:sz w:val="24"/>
        </w:rPr>
        <w:t xml:space="preserve">3) плановую величину расходов на выплату процентов по кредитным договорам, связанным с рассрочкой по оплате технологического присоединения энергопринимающих устройств максимальной мощностью свыше 15 и до 150 кВт включительно (с учетом ранее присоединенных в данной точке присоединения энергопринимающих устройств), не включаемые в состав платы за технологическое присоединение, для учета в тарифах на услуги по передаче электрической энергии на 2025 год в размере 69,73 тыс. руб. (без НДС).</w:t>
      </w:r>
    </w:p>
    <w:p>
      <w:pPr>
        <w:pStyle w:val="0"/>
        <w:spacing w:before="240" w:line-rule="auto"/>
        <w:ind w:firstLine="540"/>
        <w:jc w:val="both"/>
      </w:pPr>
      <w:r>
        <w:rPr>
          <w:sz w:val="24"/>
        </w:rPr>
        <w:t xml:space="preserve">4. Установить для ОАО "РЖД" в границах Липецкой области:</w:t>
      </w:r>
    </w:p>
    <w:p>
      <w:pPr>
        <w:pStyle w:val="0"/>
        <w:spacing w:before="240" w:line-rule="auto"/>
        <w:ind w:firstLine="540"/>
        <w:jc w:val="both"/>
      </w:pPr>
      <w:r>
        <w:rPr>
          <w:sz w:val="24"/>
        </w:rPr>
        <w:t xml:space="preserve">1) плановую величину выпадающих доходов от присоединений устройств максимальной мощностью, не превышающей 15 кВт включительно (с учетом ранее присоединенной в данной точке присоединения мощности) при технологическом присоединении по одному источнику электроснабжения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 для учета в тарифах на услуги по передаче электрической энергии на 2025 год в размере 146,32 тыс. руб. (без НДС);</w:t>
      </w:r>
    </w:p>
    <w:p>
      <w:pPr>
        <w:pStyle w:val="0"/>
        <w:spacing w:before="240" w:line-rule="auto"/>
        <w:ind w:firstLine="540"/>
        <w:jc w:val="both"/>
      </w:pPr>
      <w:r>
        <w:rPr>
          <w:sz w:val="24"/>
        </w:rPr>
        <w:t xml:space="preserve">2) плановую величину выпадающих доходов по мероприятиям "последней мили", связанным с осуществлением технологического присоединения энергопринимающих устройств максимальной мощностью до 150 кВт включительно, присоединяемых по третьей категории надежности (по одному источнику электроснабжения) к объектам электросетевого хозяйства сетевой организации на уровне напряжения 0,4 кВ и ниже, при условии, что расстояние от этих энергопринимающих устройств до ближайшего объекта электрической сети необходимого заявителю класса напряжения составляет не более 200 метров в городах и поселках городского типа и не более 300 метров в сельской местности, для учета в тарифах на услуги по передаче электрической энергии на 2025 год в размере 61,11 тыс. руб. (без НДС).</w:t>
      </w:r>
    </w:p>
    <w:p>
      <w:pPr>
        <w:pStyle w:val="0"/>
        <w:spacing w:before="240" w:line-rule="auto"/>
        <w:ind w:firstLine="540"/>
        <w:jc w:val="both"/>
      </w:pPr>
      <w:r>
        <w:rPr>
          <w:sz w:val="24"/>
        </w:rPr>
        <w:t xml:space="preserve">5. Установить для ООО "Первая сетевая компания" плановую величину выпадающих доходов от присоединений устройств максимальной мощностью, не превышающей 15 кВт включительно (с учетом ранее присоединенной в данной точке присоединения мощности) при технологическом присоединении по одному источнику электроснабжения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 для учета в тарифах на услуги по передаче электрической энергии на 2025 год в размере 8 348,43 тыс. руб. (без НДС).</w:t>
      </w:r>
    </w:p>
    <w:p>
      <w:pPr>
        <w:pStyle w:val="0"/>
        <w:spacing w:before="240" w:line-rule="auto"/>
        <w:ind w:firstLine="540"/>
        <w:jc w:val="both"/>
      </w:pPr>
      <w:r>
        <w:rPr>
          <w:sz w:val="24"/>
        </w:rPr>
        <w:t xml:space="preserve">6. Признать утратившими силу:</w:t>
      </w:r>
    </w:p>
    <w:p>
      <w:pPr>
        <w:pStyle w:val="0"/>
        <w:spacing w:before="240" w:line-rule="auto"/>
        <w:ind w:firstLine="540"/>
        <w:jc w:val="both"/>
      </w:pPr>
      <w:hyperlink w:history="0" r:id="rId42" w:tooltip="Постановление управления энергетики и тарифов Липецкой обл. от 30.11.2023 N 56/3 (ред. от 26.12.2024) &quot;Об установлении стандартизированных тарифных ставок и формул платы за технологическое присоединение к электрическим сетям территориальных сетевых организаций, осуществляющих свою деятельность на территории Липецкой области, на 2024 год&quot; ------------ Утратил силу или отменен {КонсультантПлюс}">
        <w:r>
          <w:rPr>
            <w:sz w:val="24"/>
            <w:color w:val="0000ff"/>
          </w:rPr>
          <w:t xml:space="preserve">постановление</w:t>
        </w:r>
      </w:hyperlink>
      <w:r>
        <w:rPr>
          <w:sz w:val="24"/>
        </w:rPr>
        <w:t xml:space="preserve"> управления энергетики и тарифов Липецкой области от 30 ноября 2023 года N 56/3 "Об утверждении стандартизированных тарифных ставок и формул платы за технологическое присоединение к электрическим сетям территориальных сетевых организаций, осуществляющих свою деятельность на территории Липецкой области, на 2024 год" (Официальный интернет-портал правовой информации (</w:t>
      </w:r>
      <w:hyperlink w:history="0" r:id="rId43">
        <w:r>
          <w:rPr>
            <w:sz w:val="24"/>
            <w:color w:val="0000ff"/>
          </w:rPr>
          <w:t xml:space="preserve">www.pravo.gov.ru</w:t>
        </w:r>
      </w:hyperlink>
      <w:r>
        <w:rPr>
          <w:sz w:val="24"/>
        </w:rPr>
        <w:t xml:space="preserve">), 2023, 6 декабря);</w:t>
      </w:r>
    </w:p>
    <w:p>
      <w:pPr>
        <w:pStyle w:val="0"/>
        <w:spacing w:before="240" w:line-rule="auto"/>
        <w:ind w:firstLine="540"/>
        <w:jc w:val="both"/>
      </w:pPr>
      <w:hyperlink w:history="0" r:id="rId44" w:tooltip="Постановление управления энергетики и тарифов Липецкой обл. от 29.01.2024 N 3/3 &quot;О внесении изменения в постановление управления энергетики и тарифов Липецкой области от 30 ноября 2023 года N 56/3 &quot;Об установлении стандартизированных тарифных ставок и формул платы за технологическое присоединение к электрическим сетям территориальных сетевых организаций, осуществляющих свою деятельность на территории Липецкой области, на 2024 год&quot; ------------ Утратил силу или отменен {КонсультантПлюс}">
        <w:r>
          <w:rPr>
            <w:sz w:val="24"/>
            <w:color w:val="0000ff"/>
          </w:rPr>
          <w:t xml:space="preserve">постановление</w:t>
        </w:r>
      </w:hyperlink>
      <w:r>
        <w:rPr>
          <w:sz w:val="24"/>
        </w:rPr>
        <w:t xml:space="preserve"> управления энергетики и тарифов Липецкой области от 29 января 2024 года N 3/3 "О внесении изменения в постановление управления энергетики и тарифов Липецкой области от 30 ноября 2023 года N 56/3 "Об установлении стандартизированных тарифных ставок и формул платы за технологическое присоединение к электрическим сетям территориальных сетевых организаций, осуществляющих свою деятельность на территории Липецкой области, на 2024 год" (Липецкая газета, 2024, 2 февраля).</w:t>
      </w:r>
    </w:p>
    <w:p>
      <w:pPr>
        <w:pStyle w:val="0"/>
        <w:spacing w:before="240" w:line-rule="auto"/>
        <w:ind w:firstLine="540"/>
        <w:jc w:val="both"/>
      </w:pPr>
      <w:r>
        <w:rPr>
          <w:sz w:val="24"/>
        </w:rPr>
        <w:t xml:space="preserve">7. Настоящее постановление вступает в силу с 1 января 2025 года.</w:t>
      </w:r>
    </w:p>
    <w:p>
      <w:pPr>
        <w:pStyle w:val="0"/>
        <w:jc w:val="both"/>
      </w:pPr>
      <w:r>
        <w:rPr>
          <w:sz w:val="24"/>
        </w:rPr>
      </w:r>
    </w:p>
    <w:p>
      <w:pPr>
        <w:pStyle w:val="0"/>
        <w:jc w:val="right"/>
      </w:pPr>
      <w:r>
        <w:rPr>
          <w:sz w:val="24"/>
        </w:rPr>
        <w:t xml:space="preserve">Начальник управления</w:t>
      </w:r>
    </w:p>
    <w:p>
      <w:pPr>
        <w:pStyle w:val="0"/>
        <w:jc w:val="right"/>
      </w:pPr>
      <w:r>
        <w:rPr>
          <w:sz w:val="24"/>
        </w:rPr>
        <w:t xml:space="preserve">М.В.БОЕВ</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1</w:t>
      </w:r>
    </w:p>
    <w:p>
      <w:pPr>
        <w:pStyle w:val="0"/>
        <w:jc w:val="right"/>
      </w:pPr>
      <w:r>
        <w:rPr>
          <w:sz w:val="24"/>
        </w:rPr>
        <w:t xml:space="preserve">к постановлению</w:t>
      </w:r>
    </w:p>
    <w:p>
      <w:pPr>
        <w:pStyle w:val="0"/>
        <w:jc w:val="right"/>
      </w:pPr>
      <w:r>
        <w:rPr>
          <w:sz w:val="24"/>
        </w:rPr>
        <w:t xml:space="preserve">управления энергетики</w:t>
      </w:r>
    </w:p>
    <w:p>
      <w:pPr>
        <w:pStyle w:val="0"/>
        <w:jc w:val="right"/>
      </w:pPr>
      <w:r>
        <w:rPr>
          <w:sz w:val="24"/>
        </w:rPr>
        <w:t xml:space="preserve">и тарифов Липецкой области</w:t>
      </w:r>
    </w:p>
    <w:p>
      <w:pPr>
        <w:pStyle w:val="0"/>
        <w:jc w:val="right"/>
      </w:pPr>
      <w:r>
        <w:rPr>
          <w:sz w:val="24"/>
        </w:rPr>
        <w:t xml:space="preserve">"Об установлении стандартизированных</w:t>
      </w:r>
    </w:p>
    <w:p>
      <w:pPr>
        <w:pStyle w:val="0"/>
        <w:jc w:val="right"/>
      </w:pPr>
      <w:r>
        <w:rPr>
          <w:sz w:val="24"/>
        </w:rPr>
        <w:t xml:space="preserve">тарифных ставок и формул платы</w:t>
      </w:r>
    </w:p>
    <w:p>
      <w:pPr>
        <w:pStyle w:val="0"/>
        <w:jc w:val="right"/>
      </w:pPr>
      <w:r>
        <w:rPr>
          <w:sz w:val="24"/>
        </w:rPr>
        <w:t xml:space="preserve">за технологическое присоединение</w:t>
      </w:r>
    </w:p>
    <w:p>
      <w:pPr>
        <w:pStyle w:val="0"/>
        <w:jc w:val="right"/>
      </w:pPr>
      <w:r>
        <w:rPr>
          <w:sz w:val="24"/>
        </w:rPr>
        <w:t xml:space="preserve">к электрическим сетям</w:t>
      </w:r>
    </w:p>
    <w:p>
      <w:pPr>
        <w:pStyle w:val="0"/>
        <w:jc w:val="right"/>
      </w:pPr>
      <w:r>
        <w:rPr>
          <w:sz w:val="24"/>
        </w:rPr>
        <w:t xml:space="preserve">территориальных сетевых организаций,</w:t>
      </w:r>
    </w:p>
    <w:p>
      <w:pPr>
        <w:pStyle w:val="0"/>
        <w:jc w:val="right"/>
      </w:pPr>
      <w:r>
        <w:rPr>
          <w:sz w:val="24"/>
        </w:rPr>
        <w:t xml:space="preserve">осуществляющих свою деятельность</w:t>
      </w:r>
    </w:p>
    <w:p>
      <w:pPr>
        <w:pStyle w:val="0"/>
        <w:jc w:val="right"/>
      </w:pPr>
      <w:r>
        <w:rPr>
          <w:sz w:val="24"/>
        </w:rPr>
        <w:t xml:space="preserve">на территории Липецкой области,</w:t>
      </w:r>
    </w:p>
    <w:p>
      <w:pPr>
        <w:pStyle w:val="0"/>
        <w:jc w:val="right"/>
      </w:pPr>
      <w:r>
        <w:rPr>
          <w:sz w:val="24"/>
        </w:rPr>
        <w:t xml:space="preserve">на 2025 год"</w:t>
      </w:r>
    </w:p>
    <w:p>
      <w:pPr>
        <w:pStyle w:val="0"/>
        <w:jc w:val="both"/>
      </w:pPr>
      <w:r>
        <w:rPr>
          <w:sz w:val="24"/>
        </w:rPr>
      </w:r>
    </w:p>
    <w:bookmarkStart w:id="66" w:name="P66"/>
    <w:bookmarkEnd w:id="66"/>
    <w:p>
      <w:pPr>
        <w:pStyle w:val="2"/>
        <w:jc w:val="center"/>
      </w:pPr>
      <w:r>
        <w:rPr>
          <w:sz w:val="24"/>
        </w:rPr>
        <w:t xml:space="preserve">СТАНДАРТИЗИРОВАННЫЕ ТАРИФНЫЕ СТАВКИ ДЛЯ РАСЧЕТА ПЛАТЫ</w:t>
      </w:r>
    </w:p>
    <w:p>
      <w:pPr>
        <w:pStyle w:val="2"/>
        <w:jc w:val="center"/>
      </w:pPr>
      <w:r>
        <w:rPr>
          <w:sz w:val="24"/>
        </w:rPr>
        <w:t xml:space="preserve">ЗА ТЕХНОЛОГИЧЕСКОЕ ПРИСОЕДИНЕНИЕ ЭНЕРГОПРИНИМАЮЩИХ УСТРОЙСТВ</w:t>
      </w:r>
    </w:p>
    <w:p>
      <w:pPr>
        <w:pStyle w:val="2"/>
        <w:jc w:val="center"/>
      </w:pPr>
      <w:r>
        <w:rPr>
          <w:sz w:val="24"/>
        </w:rPr>
        <w:t xml:space="preserve">ЗАЯВИТЕЛЕЙ К ЭЛЕКТРИЧЕСКИМ СЕТЯМ ТЕРРИТОРИАЛЬНЫХ СЕТЕВЫХ</w:t>
      </w:r>
    </w:p>
    <w:p>
      <w:pPr>
        <w:pStyle w:val="2"/>
        <w:jc w:val="center"/>
      </w:pPr>
      <w:r>
        <w:rPr>
          <w:sz w:val="24"/>
        </w:rPr>
        <w:t xml:space="preserve">ОРГАНИЗАЦИЙ, ОСУЩЕСТВЛЯЮЩИХ СВОЮ ДЕЯТЕЛЬНОСТЬ НА ТЕРРИТОРИИ</w:t>
      </w:r>
    </w:p>
    <w:p>
      <w:pPr>
        <w:pStyle w:val="2"/>
        <w:jc w:val="center"/>
      </w:pPr>
      <w:r>
        <w:rPr>
          <w:sz w:val="24"/>
        </w:rPr>
        <w:t xml:space="preserve">ЛИПЕЦКОЙ ОБЛАСТИ (В ЦЕНАХ 2025 ГОДА БЕЗ НДС)</w:t>
      </w:r>
    </w:p>
    <w:p>
      <w:pPr>
        <w:pStyle w:val="0"/>
        <w:jc w:val="both"/>
      </w:pPr>
      <w:r>
        <w:rPr>
          <w:sz w:val="24"/>
        </w:rPr>
      </w:r>
    </w:p>
    <w:p>
      <w:pPr>
        <w:pStyle w:val="0"/>
        <w:jc w:val="right"/>
      </w:pPr>
      <w:r>
        <w:rPr>
          <w:sz w:val="24"/>
        </w:rPr>
        <w:t xml:space="preserve">Таблица</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37"/>
        <w:gridCol w:w="907"/>
        <w:gridCol w:w="4365"/>
        <w:gridCol w:w="1134"/>
        <w:gridCol w:w="1928"/>
      </w:tblGrid>
      <w:tr>
        <w:tc>
          <w:tcPr>
            <w:tcW w:w="737" w:type="dxa"/>
          </w:tcPr>
          <w:p>
            <w:pPr>
              <w:pStyle w:val="0"/>
              <w:jc w:val="center"/>
            </w:pPr>
            <w:r>
              <w:rPr>
                <w:sz w:val="24"/>
              </w:rPr>
              <w:t xml:space="preserve">N</w:t>
            </w:r>
          </w:p>
          <w:p>
            <w:pPr>
              <w:pStyle w:val="0"/>
              <w:jc w:val="center"/>
            </w:pPr>
            <w:r>
              <w:rPr>
                <w:sz w:val="24"/>
              </w:rPr>
              <w:t xml:space="preserve">п/п</w:t>
            </w:r>
          </w:p>
        </w:tc>
        <w:tc>
          <w:tcPr>
            <w:tcW w:w="907" w:type="dxa"/>
          </w:tcPr>
          <w:p>
            <w:pPr>
              <w:pStyle w:val="0"/>
              <w:jc w:val="center"/>
            </w:pPr>
            <w:r>
              <w:rPr>
                <w:sz w:val="24"/>
              </w:rPr>
              <w:t xml:space="preserve">Обозначение</w:t>
            </w:r>
          </w:p>
        </w:tc>
        <w:tc>
          <w:tcPr>
            <w:tcW w:w="4365" w:type="dxa"/>
          </w:tcPr>
          <w:p>
            <w:pPr>
              <w:pStyle w:val="0"/>
              <w:jc w:val="center"/>
            </w:pPr>
            <w:r>
              <w:rPr>
                <w:sz w:val="24"/>
              </w:rPr>
              <w:t xml:space="preserve">Наименование</w:t>
            </w:r>
          </w:p>
        </w:tc>
        <w:tc>
          <w:tcPr>
            <w:tcW w:w="1134" w:type="dxa"/>
          </w:tcPr>
          <w:p>
            <w:pPr>
              <w:pStyle w:val="0"/>
              <w:jc w:val="center"/>
            </w:pPr>
            <w:r>
              <w:rPr>
                <w:sz w:val="24"/>
              </w:rPr>
              <w:t xml:space="preserve">Размер ставки</w:t>
            </w:r>
          </w:p>
        </w:tc>
        <w:tc>
          <w:tcPr>
            <w:tcW w:w="1928" w:type="dxa"/>
          </w:tcPr>
          <w:p>
            <w:pPr>
              <w:pStyle w:val="0"/>
              <w:jc w:val="center"/>
            </w:pPr>
            <w:r>
              <w:rPr>
                <w:sz w:val="24"/>
              </w:rPr>
              <w:t xml:space="preserve">Единица измерения</w:t>
            </w:r>
          </w:p>
        </w:tc>
      </w:tr>
      <w:tr>
        <w:tc>
          <w:tcPr>
            <w:tcW w:w="737" w:type="dxa"/>
            <w:vMerge w:val="restart"/>
          </w:tcPr>
          <w:p>
            <w:pPr>
              <w:pStyle w:val="0"/>
              <w:jc w:val="center"/>
            </w:pPr>
            <w:r>
              <w:rPr>
                <w:sz w:val="24"/>
              </w:rPr>
              <w:t xml:space="preserve">1</w:t>
            </w:r>
          </w:p>
        </w:tc>
        <w:tc>
          <w:tcPr>
            <w:tcW w:w="907" w:type="dxa"/>
            <w:vMerge w:val="restart"/>
          </w:tcPr>
          <w:p>
            <w:pPr>
              <w:pStyle w:val="0"/>
            </w:pPr>
            <w:r>
              <w:rPr>
                <w:sz w:val="24"/>
                <w:i w:val="on"/>
              </w:rPr>
              <w:t xml:space="preserve">С</w:t>
            </w:r>
            <w:r>
              <w:rPr>
                <w:sz w:val="24"/>
                <w:vertAlign w:val="subscript"/>
              </w:rPr>
              <w:t xml:space="preserve">1</w:t>
            </w:r>
          </w:p>
        </w:tc>
        <w:tc>
          <w:tcPr>
            <w:tcW w:w="4365" w:type="dxa"/>
          </w:tcPr>
          <w:p>
            <w:pPr>
              <w:pStyle w:val="0"/>
            </w:pPr>
            <w:r>
              <w:rPr>
                <w:sz w:val="24"/>
              </w:rPr>
              <w:t xml:space="preserve">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и иным лицам, на подготовку и выдачу сетевой организацией технических условий заявителю и проверку сетевой организацией выполнения технических условий заявителем:</w:t>
            </w:r>
          </w:p>
        </w:tc>
        <w:tc>
          <w:tcPr>
            <w:tcW w:w="1134" w:type="dxa"/>
          </w:tcPr>
          <w:p>
            <w:pPr>
              <w:pStyle w:val="0"/>
            </w:pPr>
            <w:r>
              <w:rPr>
                <w:sz w:val="24"/>
              </w:rPr>
            </w:r>
          </w:p>
        </w:tc>
        <w:tc>
          <w:tcPr>
            <w:tcW w:w="1928" w:type="dxa"/>
            <w:vMerge w:val="restart"/>
          </w:tcPr>
          <w:p>
            <w:pPr>
              <w:pStyle w:val="0"/>
            </w:pPr>
            <w:r>
              <w:rPr>
                <w:sz w:val="24"/>
              </w:rPr>
              <w:t xml:space="preserve">рублей за одно присоединение</w:t>
            </w:r>
          </w:p>
        </w:tc>
      </w:tr>
      <w:tr>
        <w:tc>
          <w:tcPr>
            <w:vMerge w:val="continue"/>
          </w:tcPr>
          <w:p/>
        </w:tc>
        <w:tc>
          <w:tcPr>
            <w:vMerge w:val="continue"/>
          </w:tcPr>
          <w:p/>
        </w:tc>
        <w:tc>
          <w:tcPr>
            <w:tcW w:w="4365" w:type="dxa"/>
          </w:tcPr>
          <w:p>
            <w:pPr>
              <w:pStyle w:val="0"/>
            </w:pPr>
            <w:r>
              <w:rPr>
                <w:sz w:val="24"/>
              </w:rPr>
              <w:t xml:space="preserve">заявителям, указанным в </w:t>
            </w:r>
            <w:hyperlink w:history="0" r:id="rId45" w:tooltip="Приказ ФАС России от 30.06.2022 N 490/22 (ред. от 13.11.2024) &quot;Об утверждении Методических указаний по определению размера платы за технологическое присоединение к электрическим сетям&quot; (Зарегистрировано в Минюсте России 19.08.2022 N 69710) {КонсультантПлюс}">
              <w:r>
                <w:rPr>
                  <w:sz w:val="24"/>
                  <w:color w:val="0000ff"/>
                </w:rPr>
                <w:t xml:space="preserve">абзаце шестом пункта 24</w:t>
              </w:r>
            </w:hyperlink>
            <w:r>
              <w:rPr>
                <w:sz w:val="24"/>
              </w:rPr>
              <w:t xml:space="preserve"> Методических указаний по определению размера платы за технологическое присоединение к электрическим сетям</w:t>
            </w:r>
          </w:p>
        </w:tc>
        <w:tc>
          <w:tcPr>
            <w:tcW w:w="1134" w:type="dxa"/>
          </w:tcPr>
          <w:p>
            <w:pPr>
              <w:pStyle w:val="0"/>
              <w:jc w:val="center"/>
            </w:pPr>
            <w:r>
              <w:rPr>
                <w:sz w:val="24"/>
              </w:rPr>
              <w:t xml:space="preserve">12 343,0</w:t>
            </w:r>
          </w:p>
        </w:tc>
        <w:tc>
          <w:tcPr>
            <w:vMerge w:val="continue"/>
          </w:tcPr>
          <w:p/>
        </w:tc>
      </w:tr>
      <w:tr>
        <w:tc>
          <w:tcPr>
            <w:vMerge w:val="continue"/>
          </w:tcPr>
          <w:p/>
        </w:tc>
        <w:tc>
          <w:tcPr>
            <w:vMerge w:val="continue"/>
          </w:tcPr>
          <w:p/>
        </w:tc>
        <w:tc>
          <w:tcPr>
            <w:tcW w:w="4365" w:type="dxa"/>
          </w:tcPr>
          <w:p>
            <w:pPr>
              <w:pStyle w:val="0"/>
            </w:pPr>
            <w:r>
              <w:rPr>
                <w:sz w:val="24"/>
              </w:rPr>
              <w:t xml:space="preserve">заявителями, указанными в </w:t>
            </w:r>
            <w:hyperlink w:history="0" r:id="rId46" w:tooltip="Приказ ФАС России от 30.06.2022 N 490/22 (ред. от 13.11.2024) &quot;Об утверждении Методических указаний по определению размера платы за технологическое присоединение к электрическим сетям&quot; (Зарегистрировано в Минюсте России 19.08.2022 N 69710) {КонсультантПлюс}">
              <w:r>
                <w:rPr>
                  <w:sz w:val="24"/>
                  <w:color w:val="0000ff"/>
                </w:rPr>
                <w:t xml:space="preserve">абзаце седьмом пункта 24</w:t>
              </w:r>
            </w:hyperlink>
            <w:r>
              <w:rPr>
                <w:sz w:val="24"/>
              </w:rPr>
              <w:t xml:space="preserve"> Методических указаний по определению размера платы за технологическое присоединение к электрическим сетям</w:t>
            </w:r>
          </w:p>
        </w:tc>
        <w:tc>
          <w:tcPr>
            <w:tcW w:w="1134" w:type="dxa"/>
          </w:tcPr>
          <w:p>
            <w:pPr>
              <w:pStyle w:val="0"/>
              <w:jc w:val="center"/>
            </w:pPr>
            <w:r>
              <w:rPr>
                <w:sz w:val="24"/>
              </w:rPr>
              <w:t xml:space="preserve">13 933,0</w:t>
            </w:r>
          </w:p>
        </w:tc>
        <w:tc>
          <w:tcPr>
            <w:vMerge w:val="continue"/>
          </w:tcPr>
          <w:p/>
        </w:tc>
      </w:tr>
      <w:tr>
        <w:tc>
          <w:tcPr>
            <w:tcW w:w="737" w:type="dxa"/>
          </w:tcPr>
          <w:p>
            <w:pPr>
              <w:pStyle w:val="0"/>
              <w:jc w:val="center"/>
            </w:pPr>
            <w:r>
              <w:rPr>
                <w:sz w:val="24"/>
              </w:rPr>
              <w:t xml:space="preserve">1.1</w:t>
            </w:r>
          </w:p>
        </w:tc>
        <w:tc>
          <w:tcPr>
            <w:tcW w:w="907" w:type="dxa"/>
          </w:tcPr>
          <w:p>
            <w:pPr>
              <w:pStyle w:val="0"/>
            </w:pPr>
            <w:r>
              <w:rPr>
                <w:sz w:val="24"/>
                <w:i w:val="on"/>
              </w:rPr>
              <w:t xml:space="preserve">С</w:t>
            </w:r>
            <w:r>
              <w:rPr>
                <w:sz w:val="24"/>
                <w:vertAlign w:val="subscript"/>
              </w:rPr>
              <w:t xml:space="preserve">1.1</w:t>
            </w:r>
          </w:p>
        </w:tc>
        <w:tc>
          <w:tcPr>
            <w:tcW w:w="4365" w:type="dxa"/>
          </w:tcPr>
          <w:p>
            <w:pPr>
              <w:pStyle w:val="0"/>
            </w:pPr>
            <w:r>
              <w:rPr>
                <w:sz w:val="24"/>
              </w:rPr>
              <w:t xml:space="preserve">стандартизированная тарифная ставка на покрытие расходов сетевой организации на подготовку и выдачу сетевой организацией технических условий заявителю</w:t>
            </w:r>
          </w:p>
        </w:tc>
        <w:tc>
          <w:tcPr>
            <w:tcW w:w="1134" w:type="dxa"/>
          </w:tcPr>
          <w:p>
            <w:pPr>
              <w:pStyle w:val="0"/>
              <w:jc w:val="center"/>
            </w:pPr>
            <w:r>
              <w:rPr>
                <w:sz w:val="24"/>
              </w:rPr>
              <w:t xml:space="preserve">6 993,0</w:t>
            </w:r>
          </w:p>
        </w:tc>
        <w:tc>
          <w:tcPr>
            <w:tcW w:w="1928" w:type="dxa"/>
          </w:tcPr>
          <w:p>
            <w:pPr>
              <w:pStyle w:val="0"/>
            </w:pPr>
            <w:r>
              <w:rPr>
                <w:sz w:val="24"/>
              </w:rPr>
              <w:t xml:space="preserve">рублей за одно присоединение</w:t>
            </w:r>
          </w:p>
        </w:tc>
      </w:tr>
      <w:tr>
        <w:tc>
          <w:tcPr>
            <w:tcW w:w="737" w:type="dxa"/>
          </w:tcPr>
          <w:p>
            <w:pPr>
              <w:pStyle w:val="0"/>
              <w:jc w:val="center"/>
            </w:pPr>
            <w:r>
              <w:rPr>
                <w:sz w:val="24"/>
              </w:rPr>
              <w:t xml:space="preserve">1.2.1</w:t>
            </w:r>
          </w:p>
        </w:tc>
        <w:tc>
          <w:tcPr>
            <w:tcW w:w="907" w:type="dxa"/>
          </w:tcPr>
          <w:p>
            <w:pPr>
              <w:pStyle w:val="0"/>
            </w:pPr>
            <w:r>
              <w:rPr>
                <w:sz w:val="24"/>
                <w:i w:val="on"/>
              </w:rPr>
              <w:t xml:space="preserve">С</w:t>
            </w:r>
            <w:r>
              <w:rPr>
                <w:sz w:val="24"/>
                <w:vertAlign w:val="subscript"/>
              </w:rPr>
              <w:t xml:space="preserve">1.2.1</w:t>
            </w:r>
          </w:p>
        </w:tc>
        <w:tc>
          <w:tcPr>
            <w:tcW w:w="4365" w:type="dxa"/>
          </w:tcPr>
          <w:p>
            <w:pPr>
              <w:pStyle w:val="0"/>
            </w:pPr>
            <w:r>
              <w:rPr>
                <w:sz w:val="24"/>
              </w:rPr>
              <w:t xml:space="preserve">стандартизированная тарифная ставка на покрытие расходов на выдачу акта об осуществлении технологического присоединения заявителям, указанным в </w:t>
            </w:r>
            <w:hyperlink w:history="0" r:id="rId47" w:tooltip="Приказ ФАС России от 30.06.2022 N 490/22 (ред. от 13.11.2024) &quot;Об утверждении Методических указаний по определению размера платы за технологическое присоединение к электрическим сетям&quot; (Зарегистрировано в Минюсте России 19.08.2022 N 69710) {КонсультантПлюс}">
              <w:r>
                <w:rPr>
                  <w:sz w:val="24"/>
                  <w:color w:val="0000ff"/>
                </w:rPr>
                <w:t xml:space="preserve">абзаце шестом пункта 24</w:t>
              </w:r>
            </w:hyperlink>
            <w:r>
              <w:rPr>
                <w:sz w:val="24"/>
              </w:rPr>
              <w:t xml:space="preserve"> Методических указаний по определению размера платы за технологическое присоединение к электрическим сетям</w:t>
            </w:r>
          </w:p>
        </w:tc>
        <w:tc>
          <w:tcPr>
            <w:tcW w:w="1134" w:type="dxa"/>
          </w:tcPr>
          <w:p>
            <w:pPr>
              <w:pStyle w:val="0"/>
              <w:jc w:val="center"/>
            </w:pPr>
            <w:r>
              <w:rPr>
                <w:sz w:val="24"/>
              </w:rPr>
              <w:t xml:space="preserve">5 350,0</w:t>
            </w:r>
          </w:p>
        </w:tc>
        <w:tc>
          <w:tcPr>
            <w:tcW w:w="1928" w:type="dxa"/>
          </w:tcPr>
          <w:p>
            <w:pPr>
              <w:pStyle w:val="0"/>
            </w:pPr>
            <w:r>
              <w:rPr>
                <w:sz w:val="24"/>
              </w:rPr>
              <w:t xml:space="preserve">рублей за одно присоединение</w:t>
            </w:r>
          </w:p>
        </w:tc>
      </w:tr>
      <w:tr>
        <w:tc>
          <w:tcPr>
            <w:tcW w:w="737" w:type="dxa"/>
          </w:tcPr>
          <w:p>
            <w:pPr>
              <w:pStyle w:val="0"/>
              <w:jc w:val="center"/>
            </w:pPr>
            <w:r>
              <w:rPr>
                <w:sz w:val="24"/>
              </w:rPr>
              <w:t xml:space="preserve">1.2.2</w:t>
            </w:r>
          </w:p>
        </w:tc>
        <w:tc>
          <w:tcPr>
            <w:tcW w:w="907" w:type="dxa"/>
          </w:tcPr>
          <w:p>
            <w:pPr>
              <w:pStyle w:val="0"/>
            </w:pPr>
            <w:r>
              <w:rPr>
                <w:sz w:val="24"/>
                <w:i w:val="on"/>
              </w:rPr>
              <w:t xml:space="preserve">С</w:t>
            </w:r>
            <w:r>
              <w:rPr>
                <w:sz w:val="24"/>
                <w:vertAlign w:val="subscript"/>
              </w:rPr>
              <w:t xml:space="preserve">1.2.2</w:t>
            </w:r>
          </w:p>
        </w:tc>
        <w:tc>
          <w:tcPr>
            <w:tcW w:w="4365" w:type="dxa"/>
          </w:tcPr>
          <w:p>
            <w:pPr>
              <w:pStyle w:val="0"/>
            </w:pPr>
            <w:r>
              <w:rPr>
                <w:sz w:val="24"/>
              </w:rPr>
              <w:t xml:space="preserve">стандартизированная тарифная ставка на покрытие расходов на проверку выполнения технических условий заявителями, указанными в </w:t>
            </w:r>
            <w:hyperlink w:history="0" r:id="rId48" w:tooltip="Приказ ФАС России от 30.06.2022 N 490/22 (ред. от 13.11.2024) &quot;Об утверждении Методических указаний по определению размера платы за технологическое присоединение к электрическим сетям&quot; (Зарегистрировано в Минюсте России 19.08.2022 N 69710) {КонсультантПлюс}">
              <w:r>
                <w:rPr>
                  <w:sz w:val="24"/>
                  <w:color w:val="0000ff"/>
                </w:rPr>
                <w:t xml:space="preserve">абзаце седьмом пункта 24</w:t>
              </w:r>
            </w:hyperlink>
            <w:r>
              <w:rPr>
                <w:sz w:val="24"/>
              </w:rPr>
              <w:t xml:space="preserve"> Методических указаний по определению размера платы за технологическое присоединение к электрическим сетям</w:t>
            </w:r>
          </w:p>
        </w:tc>
        <w:tc>
          <w:tcPr>
            <w:tcW w:w="1134" w:type="dxa"/>
          </w:tcPr>
          <w:p>
            <w:pPr>
              <w:pStyle w:val="0"/>
              <w:jc w:val="center"/>
            </w:pPr>
            <w:r>
              <w:rPr>
                <w:sz w:val="24"/>
              </w:rPr>
              <w:t xml:space="preserve">6 940,0</w:t>
            </w:r>
          </w:p>
        </w:tc>
        <w:tc>
          <w:tcPr>
            <w:tcW w:w="1928" w:type="dxa"/>
          </w:tcPr>
          <w:p>
            <w:pPr>
              <w:pStyle w:val="0"/>
            </w:pPr>
            <w:r>
              <w:rPr>
                <w:sz w:val="24"/>
              </w:rPr>
              <w:t xml:space="preserve">рублей за одно присоединение</w:t>
            </w:r>
          </w:p>
        </w:tc>
      </w:tr>
    </w:tbl>
    <w:p>
      <w:pPr>
        <w:pStyle w:val="0"/>
        <w:jc w:val="both"/>
      </w:pPr>
      <w:r>
        <w:rPr>
          <w:sz w:val="24"/>
        </w:rPr>
      </w:r>
    </w:p>
    <w:p>
      <w:pPr>
        <w:pStyle w:val="0"/>
        <w:ind w:firstLine="540"/>
        <w:jc w:val="both"/>
      </w:pPr>
      <w:r>
        <w:rPr>
          <w:sz w:val="24"/>
        </w:rPr>
        <w:t xml:space="preserve">Стандартизированная тарифная ставка на покрытие расходов на проверку выполнения сетевой организацией выполнения технических условий заявителем С</w:t>
      </w:r>
      <w:r>
        <w:rPr>
          <w:sz w:val="24"/>
          <w:vertAlign w:val="subscript"/>
        </w:rPr>
        <w:t xml:space="preserve">1.2.2</w:t>
      </w:r>
      <w:r>
        <w:rPr>
          <w:sz w:val="24"/>
        </w:rPr>
        <w:t xml:space="preserve"> не применяется в отношении:</w:t>
      </w:r>
    </w:p>
    <w:p>
      <w:pPr>
        <w:pStyle w:val="0"/>
        <w:spacing w:before="240" w:line-rule="auto"/>
        <w:ind w:firstLine="540"/>
        <w:jc w:val="both"/>
      </w:pPr>
      <w:r>
        <w:rPr>
          <w:sz w:val="24"/>
        </w:rPr>
        <w:t xml:space="preserve">юридических лиц или индивидуальных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если технологическое присоединение энергопринимающих устройств осуществляется на уровне напряжения 0,4 кВ и ниже;</w:t>
      </w:r>
    </w:p>
    <w:p>
      <w:pPr>
        <w:pStyle w:val="0"/>
        <w:spacing w:before="240" w:line-rule="auto"/>
        <w:ind w:firstLine="540"/>
        <w:jc w:val="both"/>
      </w:pPr>
      <w:r>
        <w:rPr>
          <w:sz w:val="24"/>
        </w:rPr>
        <w:t xml:space="preserve">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если технологическое присоединение энергопринимающих устройств осуществляется на уровне напряжения 0,4 кВ и ниже;</w:t>
      </w:r>
    </w:p>
    <w:p>
      <w:pPr>
        <w:pStyle w:val="0"/>
        <w:spacing w:before="240" w:line-rule="auto"/>
        <w:ind w:firstLine="540"/>
        <w:jc w:val="both"/>
      </w:pPr>
      <w:r>
        <w:rPr>
          <w:sz w:val="24"/>
        </w:rPr>
        <w:t xml:space="preserve">юридическим лицом или индивидуальным предпринимателем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электроснабжение которых предусматривается по одному источнику, и объектов микрогенерации, если технологическое присоединение энергопринимающих устройств осуществляется на уровне напряжения 0,4 кВ и ниже;</w:t>
      </w:r>
    </w:p>
    <w:p>
      <w:pPr>
        <w:pStyle w:val="0"/>
        <w:spacing w:before="240" w:line-rule="auto"/>
        <w:ind w:firstLine="540"/>
        <w:jc w:val="both"/>
      </w:pPr>
      <w:r>
        <w:rPr>
          <w:sz w:val="24"/>
        </w:rPr>
        <w:t xml:space="preserve">физическим лицом в целях технологического присоединения объекта микрогенерации к объектам электросетевого хозяйства с уровнем напряжения до 1000 В, если технологическое присоединение энергопринимающих устройств осуществляется на уровне напряжения 0,4 кВ и ниже;</w:t>
      </w:r>
    </w:p>
    <w:p>
      <w:pPr>
        <w:pStyle w:val="0"/>
        <w:spacing w:before="240" w:line-rule="auto"/>
        <w:ind w:firstLine="540"/>
        <w:jc w:val="both"/>
      </w:pPr>
      <w:r>
        <w:rPr>
          <w:sz w:val="24"/>
        </w:rPr>
        <w:t xml:space="preserve">физических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если технологическое присоединение энергопринимающих устройств осуществляется на уровне напряжения 0,4 кВ и ниже.</w:t>
      </w:r>
    </w:p>
    <w:p>
      <w:pPr>
        <w:pStyle w:val="0"/>
        <w:jc w:val="both"/>
      </w:pPr>
      <w:r>
        <w:rPr>
          <w:sz w:val="24"/>
        </w:rPr>
      </w:r>
    </w:p>
    <w:p>
      <w:pPr>
        <w:pStyle w:val="0"/>
        <w:jc w:val="right"/>
      </w:pPr>
      <w:r>
        <w:rPr>
          <w:sz w:val="24"/>
        </w:rPr>
        <w:t xml:space="preserve">Продолжение таблицы</w:t>
      </w:r>
    </w:p>
    <w:p>
      <w:pPr>
        <w:pStyle w:val="0"/>
        <w:jc w:val="both"/>
      </w:pPr>
      <w:r>
        <w:rPr>
          <w:sz w:val="24"/>
        </w:rPr>
      </w:r>
    </w:p>
    <w:p>
      <w:pPr>
        <w:pStyle w:val="0"/>
        <w:jc w:val="right"/>
      </w:pPr>
      <w:r>
        <w:rPr>
          <w:sz w:val="24"/>
        </w:rPr>
        <w:t xml:space="preserve">Начальник управления</w:t>
      </w:r>
    </w:p>
    <w:p>
      <w:pPr>
        <w:pStyle w:val="0"/>
        <w:jc w:val="right"/>
      </w:pPr>
      <w:r>
        <w:rPr>
          <w:sz w:val="24"/>
        </w:rPr>
        <w:t xml:space="preserve">М.В.БОЕВ</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2</w:t>
      </w:r>
    </w:p>
    <w:p>
      <w:pPr>
        <w:pStyle w:val="0"/>
        <w:jc w:val="right"/>
      </w:pPr>
      <w:r>
        <w:rPr>
          <w:sz w:val="24"/>
        </w:rPr>
        <w:t xml:space="preserve">к постановлению</w:t>
      </w:r>
    </w:p>
    <w:p>
      <w:pPr>
        <w:pStyle w:val="0"/>
        <w:jc w:val="right"/>
      </w:pPr>
      <w:r>
        <w:rPr>
          <w:sz w:val="24"/>
        </w:rPr>
        <w:t xml:space="preserve">управления энергетики</w:t>
      </w:r>
    </w:p>
    <w:p>
      <w:pPr>
        <w:pStyle w:val="0"/>
        <w:jc w:val="right"/>
      </w:pPr>
      <w:r>
        <w:rPr>
          <w:sz w:val="24"/>
        </w:rPr>
        <w:t xml:space="preserve">и тарифов Липецкой области</w:t>
      </w:r>
    </w:p>
    <w:p>
      <w:pPr>
        <w:pStyle w:val="0"/>
        <w:jc w:val="right"/>
      </w:pPr>
      <w:r>
        <w:rPr>
          <w:sz w:val="24"/>
        </w:rPr>
        <w:t xml:space="preserve">"Об установлении стандартизированных</w:t>
      </w:r>
    </w:p>
    <w:p>
      <w:pPr>
        <w:pStyle w:val="0"/>
        <w:jc w:val="right"/>
      </w:pPr>
      <w:r>
        <w:rPr>
          <w:sz w:val="24"/>
        </w:rPr>
        <w:t xml:space="preserve">тарифных ставок и формул платы</w:t>
      </w:r>
    </w:p>
    <w:p>
      <w:pPr>
        <w:pStyle w:val="0"/>
        <w:jc w:val="right"/>
      </w:pPr>
      <w:r>
        <w:rPr>
          <w:sz w:val="24"/>
        </w:rPr>
        <w:t xml:space="preserve">за технологическое присоединение</w:t>
      </w:r>
    </w:p>
    <w:p>
      <w:pPr>
        <w:pStyle w:val="0"/>
        <w:jc w:val="right"/>
      </w:pPr>
      <w:r>
        <w:rPr>
          <w:sz w:val="24"/>
        </w:rPr>
        <w:t xml:space="preserve">к электрическим сетям</w:t>
      </w:r>
    </w:p>
    <w:p>
      <w:pPr>
        <w:pStyle w:val="0"/>
        <w:jc w:val="right"/>
      </w:pPr>
      <w:r>
        <w:rPr>
          <w:sz w:val="24"/>
        </w:rPr>
        <w:t xml:space="preserve">территориальных сетевых организаций,</w:t>
      </w:r>
    </w:p>
    <w:p>
      <w:pPr>
        <w:pStyle w:val="0"/>
        <w:jc w:val="right"/>
      </w:pPr>
      <w:r>
        <w:rPr>
          <w:sz w:val="24"/>
        </w:rPr>
        <w:t xml:space="preserve">осуществляющих свою деятельность</w:t>
      </w:r>
    </w:p>
    <w:p>
      <w:pPr>
        <w:pStyle w:val="0"/>
        <w:jc w:val="right"/>
      </w:pPr>
      <w:r>
        <w:rPr>
          <w:sz w:val="24"/>
        </w:rPr>
        <w:t xml:space="preserve">на территории Липецкой области,</w:t>
      </w:r>
    </w:p>
    <w:p>
      <w:pPr>
        <w:pStyle w:val="0"/>
        <w:jc w:val="right"/>
      </w:pPr>
      <w:r>
        <w:rPr>
          <w:sz w:val="24"/>
        </w:rPr>
        <w:t xml:space="preserve">на 2025 год"</w:t>
      </w:r>
    </w:p>
    <w:p>
      <w:pPr>
        <w:pStyle w:val="0"/>
        <w:jc w:val="both"/>
      </w:pPr>
      <w:r>
        <w:rPr>
          <w:sz w:val="24"/>
        </w:rPr>
      </w:r>
    </w:p>
    <w:bookmarkStart w:id="134" w:name="P134"/>
    <w:bookmarkEnd w:id="134"/>
    <w:p>
      <w:pPr>
        <w:pStyle w:val="2"/>
        <w:jc w:val="center"/>
      </w:pPr>
      <w:r>
        <w:rPr>
          <w:sz w:val="24"/>
        </w:rPr>
        <w:t xml:space="preserve">ФОРМУЛЫ ПЛАТЫ ЗА ТЕХНОЛОГИЧЕСКОЕ ПРИСОЕДИНЕНИЕ</w:t>
      </w:r>
    </w:p>
    <w:p>
      <w:pPr>
        <w:pStyle w:val="0"/>
        <w:jc w:val="both"/>
      </w:pPr>
      <w:r>
        <w:rPr>
          <w:sz w:val="24"/>
        </w:rPr>
      </w:r>
    </w:p>
    <w:p>
      <w:pPr>
        <w:pStyle w:val="0"/>
        <w:ind w:firstLine="540"/>
        <w:jc w:val="both"/>
      </w:pPr>
      <w:r>
        <w:rPr>
          <w:sz w:val="24"/>
        </w:rPr>
        <w:t xml:space="preserve">Плата за технологическое присоединение энергопринимающих устройств заявителей к электрическим сетям территориальных сетевых организаций, осуществляющих свою деятельность на территории Липецкой области, рассчитывается исходя из стандартизированных тарифных ставок и способа технологического присоединения и реализации мероприятий по выполнению технических условий сетевой организацией, включая разработку сетевой организацией проектной документации согласно обязательствам, предусмотренным техническими условиями, и осуществление сетевой организацией мероприятий по подключению устройств под действие аппаратуры противоаварийной и режимной автоматики в соответствии с техническими условиями (</w:t>
      </w:r>
      <w:hyperlink w:history="0" r:id="rId49" w:tooltip="Приказ ФАС России от 30.06.2022 N 490/22 (ред. от 13.11.2024) &quot;Об утверждении Методических указаний по определению размера платы за технологическое присоединение к электрическим сетям&quot; (Зарегистрировано в Минюсте России 19.08.2022 N 69710) {КонсультантПлюс}">
        <w:r>
          <w:rPr>
            <w:sz w:val="24"/>
            <w:color w:val="0000ff"/>
          </w:rPr>
          <w:t xml:space="preserve">пункт 16</w:t>
        </w:r>
      </w:hyperlink>
      <w:r>
        <w:rPr>
          <w:sz w:val="24"/>
        </w:rPr>
        <w:t xml:space="preserve"> приказа ФАС России от 30 июня 2022 N 490/22 "Об утверждении Методических указаний по определению размера платы за технологическое присоединение к электрическим сетям" (далее - Методические указания)), следующим образом:</w:t>
      </w:r>
    </w:p>
    <w:p>
      <w:pPr>
        <w:pStyle w:val="0"/>
        <w:spacing w:before="240" w:line-rule="auto"/>
        <w:ind w:firstLine="540"/>
        <w:jc w:val="both"/>
      </w:pPr>
      <w:r>
        <w:rPr>
          <w:sz w:val="24"/>
        </w:rPr>
        <w:t xml:space="preserve">1) если отсутствует необходимость реализации мероприятий "последней мили", то формула платы определяется как:</w:t>
      </w:r>
    </w:p>
    <w:p>
      <w:pPr>
        <w:pStyle w:val="0"/>
        <w:jc w:val="both"/>
      </w:pPr>
      <w:r>
        <w:rPr>
          <w:sz w:val="24"/>
        </w:rPr>
      </w:r>
    </w:p>
    <w:p>
      <w:pPr>
        <w:pStyle w:val="0"/>
        <w:ind w:firstLine="540"/>
        <w:jc w:val="both"/>
      </w:pPr>
      <w:r>
        <w:rPr>
          <w:sz w:val="24"/>
        </w:rPr>
        <w:t xml:space="preserve">Р = С</w:t>
      </w:r>
      <w:r>
        <w:rPr>
          <w:sz w:val="24"/>
          <w:vertAlign w:val="subscript"/>
        </w:rPr>
        <w:t xml:space="preserve">1</w:t>
      </w:r>
      <w:r>
        <w:rPr>
          <w:sz w:val="24"/>
        </w:rPr>
        <w:t xml:space="preserve"> + С</w:t>
      </w:r>
      <w:r>
        <w:rPr>
          <w:sz w:val="24"/>
          <w:vertAlign w:val="subscript"/>
        </w:rPr>
        <w:t xml:space="preserve">8</w:t>
      </w:r>
      <w:r>
        <w:rPr>
          <w:sz w:val="24"/>
        </w:rPr>
        <w:t xml:space="preserve"> x q, (руб.),</w:t>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С</w:t>
      </w:r>
      <w:r>
        <w:rPr>
          <w:sz w:val="24"/>
          <w:vertAlign w:val="subscript"/>
        </w:rPr>
        <w:t xml:space="preserve">1</w:t>
      </w:r>
      <w:r>
        <w:rPr>
          <w:sz w:val="24"/>
        </w:rPr>
        <w:t xml:space="preserve"> - стандартизированная тарифная ставка на покрытие расходов на технологическое присоединение энергопринимающих устройств заявителя, не включающая в себя строительство объектов электросетевого хозяйства (руб. на одно присоединение);</w:t>
      </w:r>
    </w:p>
    <w:p>
      <w:pPr>
        <w:pStyle w:val="0"/>
        <w:spacing w:before="240" w:line-rule="auto"/>
        <w:ind w:firstLine="540"/>
        <w:jc w:val="both"/>
      </w:pPr>
      <w:r>
        <w:rPr>
          <w:sz w:val="24"/>
        </w:rPr>
        <w:t xml:space="preserve">С</w:t>
      </w:r>
      <w:r>
        <w:rPr>
          <w:sz w:val="24"/>
          <w:vertAlign w:val="subscript"/>
        </w:rPr>
        <w:t xml:space="preserve">8</w:t>
      </w:r>
      <w:r>
        <w:rPr>
          <w:sz w:val="24"/>
        </w:rPr>
        <w:t xml:space="preserve"> - стандартизированная тарифная ставка на покрытие расходов на обеспечение средствами коммерческого учета электрической энергии (мощности) (с дифференциацией по уровням напряжения (s) в зависимости от вида используемого материала и (или) способа выполнения работ (t)) в расчете на 1 точку учета (рублей на точку учета);</w:t>
      </w:r>
    </w:p>
    <w:p>
      <w:pPr>
        <w:pStyle w:val="0"/>
        <w:spacing w:before="240" w:line-rule="auto"/>
        <w:ind w:firstLine="540"/>
        <w:jc w:val="both"/>
      </w:pPr>
      <w:r>
        <w:rPr>
          <w:sz w:val="24"/>
        </w:rPr>
        <w:t xml:space="preserve">q - количество точек учета;</w:t>
      </w:r>
    </w:p>
    <w:p>
      <w:pPr>
        <w:pStyle w:val="0"/>
        <w:spacing w:before="240" w:line-rule="auto"/>
        <w:ind w:firstLine="540"/>
        <w:jc w:val="both"/>
      </w:pPr>
      <w:r>
        <w:rPr>
          <w:sz w:val="24"/>
        </w:rPr>
        <w:t xml:space="preserve">2) если при технологическом присоединении заявителя согласно техническим условиям предусматривается мероприятие "последней мили" по прокладке воздушных и (или) кабельных линий, строительство которых предусмотрено согласно выданным техническим условиям для технологического присоединения заявителя, то формула платы определяется как:</w:t>
      </w:r>
    </w:p>
    <w:p>
      <w:pPr>
        <w:pStyle w:val="0"/>
        <w:jc w:val="both"/>
      </w:pPr>
      <w:r>
        <w:rPr>
          <w:sz w:val="24"/>
        </w:rPr>
      </w:r>
    </w:p>
    <w:p>
      <w:pPr>
        <w:pStyle w:val="0"/>
        <w:ind w:firstLine="540"/>
        <w:jc w:val="both"/>
      </w:pPr>
      <w:r>
        <w:rPr>
          <w:position w:val="-10"/>
        </w:rPr>
        <w:drawing>
          <wp:inline distT="0" distB="0" distL="0" distR="0">
            <wp:extent cx="384048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0">
                      <a:extLst>
                        <a:ext uri="{28A0092B-C50C-407E-A947-70E740481C1C}">
                          <a14:useLocalDpi xmlns:a14="http://schemas.microsoft.com/office/drawing/2010/main" val="0"/>
                        </a:ext>
                      </a:extLst>
                    </a:blip>
                    <a:srcRect/>
                    <a:stretch>
                      <a:fillRect/>
                    </a:stretch>
                  </pic:blipFill>
                  <pic:spPr bwMode="auto">
                    <a:xfrm>
                      <a:off x="0" y="0"/>
                      <a:ext cx="3840480" cy="28575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С</w:t>
      </w:r>
      <w:r>
        <w:rPr>
          <w:sz w:val="24"/>
          <w:vertAlign w:val="subscript"/>
        </w:rPr>
        <w:t xml:space="preserve">1</w:t>
      </w:r>
      <w:r>
        <w:rPr>
          <w:sz w:val="24"/>
        </w:rPr>
        <w:t xml:space="preserve"> - стандартизированная тарифная ставка на покрытие расходов на технологическое присоединение энергопринимающих устройств заявителя, не включающая в себя строительство объектов электросетевого хозяйства (руб. на одно присоединение);</w:t>
      </w:r>
    </w:p>
    <w:p>
      <w:pPr>
        <w:pStyle w:val="0"/>
        <w:spacing w:before="240" w:line-rule="auto"/>
        <w:ind w:firstLine="540"/>
        <w:jc w:val="both"/>
      </w:pPr>
      <w:r>
        <w:rPr>
          <w:sz w:val="24"/>
        </w:rPr>
        <w:t xml:space="preserve">С</w:t>
      </w:r>
      <w:r>
        <w:rPr>
          <w:sz w:val="24"/>
          <w:vertAlign w:val="subscript"/>
        </w:rPr>
        <w:t xml:space="preserve">2(s,t)</w:t>
      </w:r>
      <w:r>
        <w:rPr>
          <w:sz w:val="24"/>
        </w:rPr>
        <w:t xml:space="preserve"> - стандартизированная тарифная ставка на покрытие расходов на строительство воздушных линий (с дифференциацией по уровням напряжения (s) в зависимости от вида используемого материала и (или) способа выполнения работ (t)) в расчете на 1 км линий (руб./км);</w:t>
      </w:r>
    </w:p>
    <w:p>
      <w:pPr>
        <w:pStyle w:val="0"/>
        <w:spacing w:before="240" w:line-rule="auto"/>
        <w:ind w:firstLine="540"/>
        <w:jc w:val="both"/>
      </w:pPr>
      <w:r>
        <w:rPr>
          <w:position w:val="-19"/>
        </w:rPr>
        <w:drawing>
          <wp:inline distT="0" distB="0" distL="0" distR="0">
            <wp:extent cx="411480" cy="39941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1">
                      <a:extLst>
                        <a:ext uri="{28A0092B-C50C-407E-A947-70E740481C1C}">
                          <a14:useLocalDpi xmlns:a14="http://schemas.microsoft.com/office/drawing/2010/main" val="0"/>
                        </a:ext>
                      </a:extLst>
                    </a:blip>
                    <a:srcRect/>
                    <a:stretch>
                      <a:fillRect/>
                    </a:stretch>
                  </pic:blipFill>
                  <pic:spPr bwMode="auto">
                    <a:xfrm>
                      <a:off x="0" y="0"/>
                      <a:ext cx="411480" cy="399415"/>
                    </a:xfrm>
                    <a:prstGeom prst="rect">
                      <a:avLst/>
                    </a:prstGeom>
                    <a:noFill/>
                    <a:ln>
                      <a:noFill/>
                    </a:ln>
                  </pic:spPr>
                </pic:pic>
              </a:graphicData>
            </a:graphic>
          </wp:inline>
        </w:drawing>
      </w:r>
      <w:r>
        <w:rPr>
          <w:sz w:val="24"/>
        </w:rPr>
        <w:t xml:space="preserve"> - суммарная протяженность воздушной линии на уровне напряжения (s) в зависимости от вида используемого материала и (или) способа выполнения работ (t), строительство которой предусмотрено согласно выданным техническим условиям для технологического присоединения заявителя (км);</w:t>
      </w:r>
    </w:p>
    <w:p>
      <w:pPr>
        <w:pStyle w:val="0"/>
        <w:spacing w:before="240" w:line-rule="auto"/>
        <w:ind w:firstLine="540"/>
        <w:jc w:val="both"/>
      </w:pPr>
      <w:r>
        <w:rPr>
          <w:sz w:val="24"/>
        </w:rPr>
        <w:t xml:space="preserve">С</w:t>
      </w:r>
      <w:r>
        <w:rPr>
          <w:sz w:val="24"/>
          <w:vertAlign w:val="subscript"/>
        </w:rPr>
        <w:t xml:space="preserve">3(s,t)</w:t>
      </w:r>
      <w:r>
        <w:rPr>
          <w:sz w:val="24"/>
        </w:rPr>
        <w:t xml:space="preserve"> - стандартизированная тарифная ставка на покрытие расходов на строительство кабельных линий (с дифференциацией по уровням напряжения (s) в зависимости от вида используемого материала и (или) способа выполнения работ (t)) в расчете на 1 км линий (руб./км);</w:t>
      </w:r>
    </w:p>
    <w:p>
      <w:pPr>
        <w:pStyle w:val="0"/>
        <w:spacing w:before="240" w:line-rule="auto"/>
        <w:ind w:firstLine="540"/>
        <w:jc w:val="both"/>
      </w:pPr>
      <w:r>
        <w:rPr>
          <w:position w:val="-19"/>
        </w:rPr>
        <w:drawing>
          <wp:inline distT="0" distB="0" distL="0" distR="0">
            <wp:extent cx="411480" cy="39941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2">
                      <a:extLst>
                        <a:ext uri="{28A0092B-C50C-407E-A947-70E740481C1C}">
                          <a14:useLocalDpi xmlns:a14="http://schemas.microsoft.com/office/drawing/2010/main" val="0"/>
                        </a:ext>
                      </a:extLst>
                    </a:blip>
                    <a:srcRect/>
                    <a:stretch>
                      <a:fillRect/>
                    </a:stretch>
                  </pic:blipFill>
                  <pic:spPr bwMode="auto">
                    <a:xfrm>
                      <a:off x="0" y="0"/>
                      <a:ext cx="411480" cy="399415"/>
                    </a:xfrm>
                    <a:prstGeom prst="rect">
                      <a:avLst/>
                    </a:prstGeom>
                    <a:noFill/>
                    <a:ln>
                      <a:noFill/>
                    </a:ln>
                  </pic:spPr>
                </pic:pic>
              </a:graphicData>
            </a:graphic>
          </wp:inline>
        </w:drawing>
      </w:r>
      <w:r>
        <w:rPr>
          <w:sz w:val="24"/>
        </w:rPr>
        <w:t xml:space="preserve"> - суммарная протяженность кабельной линии на уровне напряжения (s) в зависимости от вида используемого материала и (или) способа выполнения работ (t), строительство которой предусмотрено согласно выданным техническим условиям для технологического присоединения заявителя (км);</w:t>
      </w:r>
    </w:p>
    <w:p>
      <w:pPr>
        <w:pStyle w:val="0"/>
        <w:spacing w:before="240" w:line-rule="auto"/>
        <w:ind w:firstLine="540"/>
        <w:jc w:val="both"/>
      </w:pPr>
      <w:r>
        <w:rPr>
          <w:sz w:val="24"/>
        </w:rPr>
        <w:t xml:space="preserve">С</w:t>
      </w:r>
      <w:r>
        <w:rPr>
          <w:sz w:val="24"/>
          <w:vertAlign w:val="subscript"/>
        </w:rPr>
        <w:t xml:space="preserve">8</w:t>
      </w:r>
      <w:r>
        <w:rPr>
          <w:sz w:val="24"/>
        </w:rPr>
        <w:t xml:space="preserve"> - стандартизированная тарифная ставка на покрытие расходов на обеспечение средствами коммерческого учета электрической энергии (мощности) (с дифференциацией по уровням напряжения (s) в зависимости от вида используемого материала и (или) способа выполнения работ (t)) в расчете на 1 точку учета (рублей на точку учета);</w:t>
      </w:r>
    </w:p>
    <w:p>
      <w:pPr>
        <w:pStyle w:val="0"/>
        <w:spacing w:before="240" w:line-rule="auto"/>
        <w:ind w:firstLine="540"/>
        <w:jc w:val="both"/>
      </w:pPr>
      <w:r>
        <w:rPr>
          <w:sz w:val="24"/>
        </w:rPr>
        <w:t xml:space="preserve">q - количество точек учета;</w:t>
      </w:r>
    </w:p>
    <w:p>
      <w:pPr>
        <w:pStyle w:val="0"/>
        <w:spacing w:before="240" w:line-rule="auto"/>
        <w:ind w:firstLine="540"/>
        <w:jc w:val="both"/>
      </w:pPr>
      <w:r>
        <w:rPr>
          <w:sz w:val="24"/>
        </w:rPr>
        <w:t xml:space="preserve">3) если при технологическом присоединении заявителя согласно техническим условиям предусматриваются мероприятия "последней мили" по строительству пунктов секционирования (реклоузеров, распределительных пунктов, переключательных пунктов), трансформаторных подстанций (ТП), за исключением распределительных трансформаторных подстанций (РТП), распределительных трансформаторных подстанций (РТП) с уровнем напряжения до 35 кВ и на строительство центров питания, подстанций уровнем напряжения 35 кВ и выше (ПС), то формула платы определяется как:</w:t>
      </w:r>
    </w:p>
    <w:p>
      <w:pPr>
        <w:pStyle w:val="0"/>
        <w:jc w:val="both"/>
      </w:pPr>
      <w:r>
        <w:rPr>
          <w:sz w:val="24"/>
        </w:rPr>
      </w:r>
    </w:p>
    <w:p>
      <w:pPr>
        <w:pStyle w:val="0"/>
        <w:ind w:firstLine="540"/>
        <w:jc w:val="both"/>
      </w:pPr>
      <w:r>
        <w:rPr>
          <w:position w:val="-32"/>
        </w:rPr>
        <w:drawing>
          <wp:inline distT="0" distB="0" distL="0" distR="0">
            <wp:extent cx="4171950" cy="5600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3">
                      <a:extLst>
                        <a:ext uri="{28A0092B-C50C-407E-A947-70E740481C1C}">
                          <a14:useLocalDpi xmlns:a14="http://schemas.microsoft.com/office/drawing/2010/main" val="0"/>
                        </a:ext>
                      </a:extLst>
                    </a:blip>
                    <a:srcRect/>
                    <a:stretch>
                      <a:fillRect/>
                    </a:stretch>
                  </pic:blipFill>
                  <pic:spPr bwMode="auto">
                    <a:xfrm>
                      <a:off x="0" y="0"/>
                      <a:ext cx="4171950" cy="56007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С</w:t>
      </w:r>
      <w:r>
        <w:rPr>
          <w:sz w:val="24"/>
          <w:vertAlign w:val="subscript"/>
        </w:rPr>
        <w:t xml:space="preserve">1</w:t>
      </w:r>
      <w:r>
        <w:rPr>
          <w:sz w:val="24"/>
        </w:rPr>
        <w:t xml:space="preserve"> - стандартизированная тарифная ставка на покрытие расходов на технологическое присоединение энергопринимающих устройств заявителя, не включающая в себя строительство объектов электросетевого хозяйства (руб. на одно присоединение);</w:t>
      </w:r>
    </w:p>
    <w:p>
      <w:pPr>
        <w:pStyle w:val="0"/>
        <w:spacing w:before="240" w:line-rule="auto"/>
        <w:ind w:firstLine="540"/>
        <w:jc w:val="both"/>
      </w:pPr>
      <w:r>
        <w:rPr>
          <w:sz w:val="24"/>
        </w:rPr>
        <w:t xml:space="preserve">С</w:t>
      </w:r>
      <w:r>
        <w:rPr>
          <w:sz w:val="24"/>
          <w:vertAlign w:val="subscript"/>
        </w:rPr>
        <w:t xml:space="preserve">2(s,t)</w:t>
      </w:r>
      <w:r>
        <w:rPr>
          <w:sz w:val="24"/>
        </w:rPr>
        <w:t xml:space="preserve"> - стандартизированная тарифная ставка на покрытие расходов на строительство воздушных линий (с дифференциацией по уровням напряжения (s) в зависимости от вида используемого материала и (или) способа выполнения работ (t)) в расчете на 1 км линий (руб./км);</w:t>
      </w:r>
    </w:p>
    <w:p>
      <w:pPr>
        <w:pStyle w:val="0"/>
        <w:spacing w:before="240" w:line-rule="auto"/>
        <w:ind w:firstLine="540"/>
        <w:jc w:val="both"/>
      </w:pPr>
      <w:r>
        <w:rPr>
          <w:position w:val="-19"/>
        </w:rPr>
        <w:drawing>
          <wp:inline distT="0" distB="0" distL="0" distR="0">
            <wp:extent cx="411480" cy="39941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1">
                      <a:extLst>
                        <a:ext uri="{28A0092B-C50C-407E-A947-70E740481C1C}">
                          <a14:useLocalDpi xmlns:a14="http://schemas.microsoft.com/office/drawing/2010/main" val="0"/>
                        </a:ext>
                      </a:extLst>
                    </a:blip>
                    <a:srcRect/>
                    <a:stretch>
                      <a:fillRect/>
                    </a:stretch>
                  </pic:blipFill>
                  <pic:spPr bwMode="auto">
                    <a:xfrm>
                      <a:off x="0" y="0"/>
                      <a:ext cx="411480" cy="399415"/>
                    </a:xfrm>
                    <a:prstGeom prst="rect">
                      <a:avLst/>
                    </a:prstGeom>
                    <a:noFill/>
                    <a:ln>
                      <a:noFill/>
                    </a:ln>
                  </pic:spPr>
                </pic:pic>
              </a:graphicData>
            </a:graphic>
          </wp:inline>
        </w:drawing>
      </w:r>
      <w:r>
        <w:rPr>
          <w:sz w:val="24"/>
        </w:rPr>
        <w:t xml:space="preserve"> - суммарная протяженность воздушной линии на уровне напряжения (s) в зависимости от вида используемого материала и (или) способа выполнения работ (t), строительство которой предусмотрено согласно выданным техническим условиям для технологического присоединения заявителя (км);</w:t>
      </w:r>
    </w:p>
    <w:p>
      <w:pPr>
        <w:pStyle w:val="0"/>
        <w:spacing w:before="240" w:line-rule="auto"/>
        <w:ind w:firstLine="540"/>
        <w:jc w:val="both"/>
      </w:pPr>
      <w:r>
        <w:rPr>
          <w:sz w:val="24"/>
        </w:rPr>
        <w:t xml:space="preserve">С</w:t>
      </w:r>
      <w:r>
        <w:rPr>
          <w:sz w:val="24"/>
          <w:vertAlign w:val="subscript"/>
        </w:rPr>
        <w:t xml:space="preserve">3(s,t)</w:t>
      </w:r>
      <w:r>
        <w:rPr>
          <w:sz w:val="24"/>
        </w:rPr>
        <w:t xml:space="preserve"> - стандартизированная тарифная ставка на покрытие расходов на строительство кабельных линий (с дифференциацией по уровням напряжения (s) в зависимости от вида используемого материала и (или) способа выполнения работ (t)) в расчете на 1 км линий (руб./км);</w:t>
      </w:r>
    </w:p>
    <w:p>
      <w:pPr>
        <w:pStyle w:val="0"/>
        <w:spacing w:before="240" w:line-rule="auto"/>
        <w:ind w:firstLine="540"/>
        <w:jc w:val="both"/>
      </w:pPr>
      <w:r>
        <w:rPr>
          <w:position w:val="-19"/>
        </w:rPr>
        <w:drawing>
          <wp:inline distT="0" distB="0" distL="0" distR="0">
            <wp:extent cx="411480" cy="39941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2">
                      <a:extLst>
                        <a:ext uri="{28A0092B-C50C-407E-A947-70E740481C1C}">
                          <a14:useLocalDpi xmlns:a14="http://schemas.microsoft.com/office/drawing/2010/main" val="0"/>
                        </a:ext>
                      </a:extLst>
                    </a:blip>
                    <a:srcRect/>
                    <a:stretch>
                      <a:fillRect/>
                    </a:stretch>
                  </pic:blipFill>
                  <pic:spPr bwMode="auto">
                    <a:xfrm>
                      <a:off x="0" y="0"/>
                      <a:ext cx="411480" cy="399415"/>
                    </a:xfrm>
                    <a:prstGeom prst="rect">
                      <a:avLst/>
                    </a:prstGeom>
                    <a:noFill/>
                    <a:ln>
                      <a:noFill/>
                    </a:ln>
                  </pic:spPr>
                </pic:pic>
              </a:graphicData>
            </a:graphic>
          </wp:inline>
        </w:drawing>
      </w:r>
      <w:r>
        <w:rPr>
          <w:sz w:val="24"/>
        </w:rPr>
        <w:t xml:space="preserve"> - суммарная протяженность кабельной линии на уровне напряжения (s) в зависимости от вида используемого материала и (или) способа выполнения работ (t), строительство которой предусмотрено согласно выданным техническим условиям для технологического присоединения заявителя (км);</w:t>
      </w:r>
    </w:p>
    <w:p>
      <w:pPr>
        <w:pStyle w:val="0"/>
        <w:spacing w:before="240" w:line-rule="auto"/>
        <w:ind w:firstLine="540"/>
        <w:jc w:val="both"/>
      </w:pPr>
      <w:r>
        <w:rPr>
          <w:sz w:val="24"/>
        </w:rPr>
        <w:t xml:space="preserve">С</w:t>
      </w:r>
      <w:r>
        <w:rPr>
          <w:sz w:val="24"/>
          <w:vertAlign w:val="subscript"/>
        </w:rPr>
        <w:t xml:space="preserve">4(s,t)</w:t>
      </w:r>
      <w:r>
        <w:rPr>
          <w:sz w:val="24"/>
        </w:rPr>
        <w:t xml:space="preserve"> - стандартизированная тарифная ставка на покрытие расходов на строительство пунктов секционирования (реклоузеров, распределительных пунктов (РП), переключательных пунктов) (с дифференциацией по уровням напряжения (s) в зависимости от вида используемого материала и (или) способа выполнения работ (t)) в расчете на 1 шт. (руб./шт.);</w:t>
      </w:r>
    </w:p>
    <w:p>
      <w:pPr>
        <w:pStyle w:val="0"/>
        <w:spacing w:before="240" w:line-rule="auto"/>
        <w:ind w:firstLine="540"/>
        <w:jc w:val="both"/>
      </w:pPr>
      <w:r>
        <w:rPr>
          <w:sz w:val="24"/>
        </w:rPr>
        <w:t xml:space="preserve">р - количество пунктов секционирования (реклоузеров, распределительных пунктов (РП), переключательных пунктов), строительство которых предусмотрено согласно выданным техническим условиям для технологического присоединения заявителя (шт.);</w:t>
      </w:r>
    </w:p>
    <w:p>
      <w:pPr>
        <w:pStyle w:val="0"/>
        <w:spacing w:before="240" w:line-rule="auto"/>
        <w:ind w:firstLine="540"/>
        <w:jc w:val="both"/>
      </w:pPr>
      <w:r>
        <w:rPr>
          <w:sz w:val="24"/>
        </w:rPr>
        <w:t xml:space="preserve">С</w:t>
      </w:r>
      <w:r>
        <w:rPr>
          <w:sz w:val="24"/>
          <w:vertAlign w:val="subscript"/>
        </w:rPr>
        <w:t xml:space="preserve">5(s,t)</w:t>
      </w:r>
      <w:r>
        <w:rPr>
          <w:sz w:val="24"/>
        </w:rPr>
        <w:t xml:space="preserve"> - стандартизированная тарифная ставка на покрытие расходов на строительство трансформаторных подстанций (ТП), за исключением распределительных трансформаторных подстанций (РТП), с уровнем напряжения до 35 кВ (с дифференциацией по уровням напряжения (s) в зависимости от вида используемого материала и (или) способа выполнения работ (t)) в расчете на 1 кВт максимальной мощности (руб./кВт);</w:t>
      </w:r>
    </w:p>
    <w:p>
      <w:pPr>
        <w:pStyle w:val="0"/>
        <w:spacing w:before="240" w:line-rule="auto"/>
        <w:ind w:firstLine="540"/>
        <w:jc w:val="both"/>
      </w:pPr>
      <w:r>
        <w:rPr>
          <w:sz w:val="24"/>
        </w:rPr>
        <w:t xml:space="preserve">С</w:t>
      </w:r>
      <w:r>
        <w:rPr>
          <w:sz w:val="24"/>
          <w:vertAlign w:val="subscript"/>
        </w:rPr>
        <w:t xml:space="preserve">6(s,t)</w:t>
      </w:r>
      <w:r>
        <w:rPr>
          <w:sz w:val="24"/>
        </w:rPr>
        <w:t xml:space="preserve"> - стандартизированная тарифная ставка на покрытие расходов на строительство распределительных трансформаторных подстанций (РТП), с уровнем напряжения до 35 кВ (с дифференциацией по уровням напряжения (s) в зависимости от вида используемого материала и (или) способа выполнения работ (t)) в расчете на 1 кВт максимальной мощности (руб./кВт);</w:t>
      </w:r>
    </w:p>
    <w:p>
      <w:pPr>
        <w:pStyle w:val="0"/>
        <w:spacing w:before="240" w:line-rule="auto"/>
        <w:ind w:firstLine="540"/>
        <w:jc w:val="both"/>
      </w:pPr>
      <w:r>
        <w:rPr>
          <w:sz w:val="24"/>
        </w:rPr>
        <w:t xml:space="preserve">С</w:t>
      </w:r>
      <w:r>
        <w:rPr>
          <w:sz w:val="24"/>
          <w:vertAlign w:val="subscript"/>
        </w:rPr>
        <w:t xml:space="preserve">7(s,t)</w:t>
      </w:r>
      <w:r>
        <w:rPr>
          <w:sz w:val="24"/>
        </w:rPr>
        <w:t xml:space="preserve"> - стандартизированная тарифная ставка на покрытие расходов на строительство подстанций уровнем напряжения 35 кВ и выше (ПС) (с дифференциацией по уровням напряжения (s) в зависимости от вида используемого материала и (или) способа выполнения работ (t)) в расчете на 1 кВт максимальной мощности (руб./кВт);</w:t>
      </w:r>
    </w:p>
    <w:p>
      <w:pPr>
        <w:pStyle w:val="0"/>
        <w:spacing w:before="240" w:line-rule="auto"/>
        <w:ind w:firstLine="540"/>
        <w:jc w:val="both"/>
      </w:pPr>
      <w:r>
        <w:rPr>
          <w:sz w:val="24"/>
        </w:rPr>
        <w:t xml:space="preserve">N - объем максимальной мощности, указанный в заявке на технологическое присоединение заявителем (кВт);</w:t>
      </w:r>
    </w:p>
    <w:p>
      <w:pPr>
        <w:pStyle w:val="0"/>
        <w:spacing w:before="240" w:line-rule="auto"/>
        <w:ind w:firstLine="540"/>
        <w:jc w:val="both"/>
      </w:pPr>
      <w:r>
        <w:rPr>
          <w:sz w:val="24"/>
        </w:rPr>
        <w:t xml:space="preserve">С</w:t>
      </w:r>
      <w:r>
        <w:rPr>
          <w:sz w:val="24"/>
          <w:vertAlign w:val="subscript"/>
        </w:rPr>
        <w:t xml:space="preserve">8</w:t>
      </w:r>
      <w:r>
        <w:rPr>
          <w:sz w:val="24"/>
        </w:rPr>
        <w:t xml:space="preserve"> - стандартизированная тарифная ставка на покрытие расходов сетевой организации на обеспечение средствами коммерческого учета электрической энергии (мощности) (с дифференциацией по уровням напряжения (s) в зависимости от вида используемого материала и (или) способа выполнения работ (t)) в расчете на 1 точку учета (рублей на точку учета);</w:t>
      </w:r>
    </w:p>
    <w:p>
      <w:pPr>
        <w:pStyle w:val="0"/>
        <w:spacing w:before="240" w:line-rule="auto"/>
        <w:ind w:firstLine="540"/>
        <w:jc w:val="both"/>
      </w:pPr>
      <w:r>
        <w:rPr>
          <w:sz w:val="24"/>
        </w:rPr>
        <w:t xml:space="preserve">q - количество точек учета;</w:t>
      </w:r>
    </w:p>
    <w:p>
      <w:pPr>
        <w:pStyle w:val="0"/>
        <w:spacing w:before="240" w:line-rule="auto"/>
        <w:ind w:firstLine="540"/>
        <w:jc w:val="both"/>
      </w:pPr>
      <w:r>
        <w:rPr>
          <w:sz w:val="24"/>
        </w:rPr>
        <w:t xml:space="preserve">4) для заявителей, указанных в </w:t>
      </w:r>
      <w:hyperlink w:history="0" r:id="rId54"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пункте 12(1)</w:t>
        </w:r>
      </w:hyperlink>
      <w:r>
        <w:rPr>
          <w:sz w:val="24"/>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(далее - Правила), утвержденных постановлением Правительства Российской Федерации от 27 декабря 2004 года N 861, присоединяемых по третьей категории надежности (по одному источнику электроснабжения) к объектам электросетевого хозяйства сетевой организации на уровне напряжения 0,4 кВ и ниже, при условии, что расстояние от этих энергопринимающих устройств до ближайшего объекта электрической сети необходимого заявителю класса напряжения составляет не более 200 метров в городах и поселках городского типа и не более 300 метров в сельской местности, стандартизированные тарифные ставки </w:t>
      </w:r>
      <w:r>
        <w:rPr>
          <w:position w:val="-10"/>
        </w:rPr>
        <w:drawing>
          <wp:inline distT="0" distB="0" distL="0" distR="0">
            <wp:extent cx="96012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5">
                      <a:extLst>
                        <a:ext uri="{28A0092B-C50C-407E-A947-70E740481C1C}">
                          <a14:useLocalDpi xmlns:a14="http://schemas.microsoft.com/office/drawing/2010/main" val="0"/>
                        </a:ext>
                      </a:extLst>
                    </a:blip>
                    <a:srcRect/>
                    <a:stretch>
                      <a:fillRect/>
                    </a:stretch>
                  </pic:blipFill>
                  <pic:spPr bwMode="auto">
                    <a:xfrm>
                      <a:off x="0" y="0"/>
                      <a:ext cx="960120" cy="285750"/>
                    </a:xfrm>
                    <a:prstGeom prst="rect">
                      <a:avLst/>
                    </a:prstGeom>
                    <a:noFill/>
                    <a:ln>
                      <a:noFill/>
                    </a:ln>
                  </pic:spPr>
                </pic:pic>
              </a:graphicData>
            </a:graphic>
          </wp:inline>
        </w:drawing>
      </w:r>
      <w:r>
        <w:rPr>
          <w:sz w:val="24"/>
        </w:rPr>
        <w:t xml:space="preserve">, </w:t>
      </w:r>
      <w:r>
        <w:rPr>
          <w:position w:val="-10"/>
        </w:rPr>
        <w:drawing>
          <wp:inline distT="0" distB="0" distL="0" distR="0">
            <wp:extent cx="96012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6">
                      <a:extLst>
                        <a:ext uri="{28A0092B-C50C-407E-A947-70E740481C1C}">
                          <a14:useLocalDpi xmlns:a14="http://schemas.microsoft.com/office/drawing/2010/main" val="0"/>
                        </a:ext>
                      </a:extLst>
                    </a:blip>
                    <a:srcRect/>
                    <a:stretch>
                      <a:fillRect/>
                    </a:stretch>
                  </pic:blipFill>
                  <pic:spPr bwMode="auto">
                    <a:xfrm>
                      <a:off x="0" y="0"/>
                      <a:ext cx="960120" cy="285750"/>
                    </a:xfrm>
                    <a:prstGeom prst="rect">
                      <a:avLst/>
                    </a:prstGeom>
                    <a:noFill/>
                    <a:ln>
                      <a:noFill/>
                    </a:ln>
                  </pic:spPr>
                </pic:pic>
              </a:graphicData>
            </a:graphic>
          </wp:inline>
        </w:drawing>
      </w:r>
      <w:r>
        <w:rPr>
          <w:sz w:val="24"/>
        </w:rPr>
        <w:t xml:space="preserve">, </w:t>
      </w:r>
      <w:r>
        <w:rPr>
          <w:position w:val="-10"/>
        </w:rPr>
        <w:drawing>
          <wp:inline distT="0" distB="0" distL="0" distR="0">
            <wp:extent cx="96012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7">
                      <a:extLst>
                        <a:ext uri="{28A0092B-C50C-407E-A947-70E740481C1C}">
                          <a14:useLocalDpi xmlns:a14="http://schemas.microsoft.com/office/drawing/2010/main" val="0"/>
                        </a:ext>
                      </a:extLst>
                    </a:blip>
                    <a:srcRect/>
                    <a:stretch>
                      <a:fillRect/>
                    </a:stretch>
                  </pic:blipFill>
                  <pic:spPr bwMode="auto">
                    <a:xfrm>
                      <a:off x="0" y="0"/>
                      <a:ext cx="960120" cy="285750"/>
                    </a:xfrm>
                    <a:prstGeom prst="rect">
                      <a:avLst/>
                    </a:prstGeom>
                    <a:noFill/>
                    <a:ln>
                      <a:noFill/>
                    </a:ln>
                  </pic:spPr>
                </pic:pic>
              </a:graphicData>
            </a:graphic>
          </wp:inline>
        </w:drawing>
      </w:r>
      <w:r>
        <w:rPr>
          <w:sz w:val="24"/>
        </w:rPr>
        <w:t xml:space="preserve">, </w:t>
      </w:r>
      <w:r>
        <w:rPr>
          <w:position w:val="-10"/>
        </w:rPr>
        <w:drawing>
          <wp:inline distT="0" distB="0" distL="0" distR="0">
            <wp:extent cx="96012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8">
                      <a:extLst>
                        <a:ext uri="{28A0092B-C50C-407E-A947-70E740481C1C}">
                          <a14:useLocalDpi xmlns:a14="http://schemas.microsoft.com/office/drawing/2010/main" val="0"/>
                        </a:ext>
                      </a:extLst>
                    </a:blip>
                    <a:srcRect/>
                    <a:stretch>
                      <a:fillRect/>
                    </a:stretch>
                  </pic:blipFill>
                  <pic:spPr bwMode="auto">
                    <a:xfrm>
                      <a:off x="0" y="0"/>
                      <a:ext cx="960120" cy="285750"/>
                    </a:xfrm>
                    <a:prstGeom prst="rect">
                      <a:avLst/>
                    </a:prstGeom>
                    <a:noFill/>
                    <a:ln>
                      <a:noFill/>
                    </a:ln>
                  </pic:spPr>
                </pic:pic>
              </a:graphicData>
            </a:graphic>
          </wp:inline>
        </w:drawing>
      </w:r>
      <w:r>
        <w:rPr>
          <w:sz w:val="24"/>
        </w:rPr>
        <w:t xml:space="preserve">, </w:t>
      </w:r>
      <w:r>
        <w:rPr>
          <w:position w:val="-10"/>
        </w:rPr>
        <w:drawing>
          <wp:inline distT="0" distB="0" distL="0" distR="0">
            <wp:extent cx="96012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a:extLst>
                        <a:ext uri="{28A0092B-C50C-407E-A947-70E740481C1C}">
                          <a14:useLocalDpi xmlns:a14="http://schemas.microsoft.com/office/drawing/2010/main" val="0"/>
                        </a:ext>
                      </a:extLst>
                    </a:blip>
                    <a:srcRect/>
                    <a:stretch>
                      <a:fillRect/>
                    </a:stretch>
                  </pic:blipFill>
                  <pic:spPr bwMode="auto">
                    <a:xfrm>
                      <a:off x="0" y="0"/>
                      <a:ext cx="960120" cy="285750"/>
                    </a:xfrm>
                    <a:prstGeom prst="rect">
                      <a:avLst/>
                    </a:prstGeom>
                    <a:noFill/>
                    <a:ln>
                      <a:noFill/>
                    </a:ln>
                  </pic:spPr>
                </pic:pic>
              </a:graphicData>
            </a:graphic>
          </wp:inline>
        </w:drawing>
      </w:r>
      <w:r>
        <w:rPr>
          <w:sz w:val="24"/>
        </w:rPr>
        <w:t xml:space="preserve">, </w:t>
      </w:r>
      <w:r>
        <w:rPr>
          <w:position w:val="-10"/>
        </w:rPr>
        <w:drawing>
          <wp:inline distT="0" distB="0" distL="0" distR="0">
            <wp:extent cx="96012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0">
                      <a:extLst>
                        <a:ext uri="{28A0092B-C50C-407E-A947-70E740481C1C}">
                          <a14:useLocalDpi xmlns:a14="http://schemas.microsoft.com/office/drawing/2010/main" val="0"/>
                        </a:ext>
                      </a:extLst>
                    </a:blip>
                    <a:srcRect/>
                    <a:stretch>
                      <a:fillRect/>
                    </a:stretch>
                  </pic:blipFill>
                  <pic:spPr bwMode="auto">
                    <a:xfrm>
                      <a:off x="0" y="0"/>
                      <a:ext cx="960120" cy="285750"/>
                    </a:xfrm>
                    <a:prstGeom prst="rect">
                      <a:avLst/>
                    </a:prstGeom>
                    <a:noFill/>
                    <a:ln>
                      <a:noFill/>
                    </a:ln>
                  </pic:spPr>
                </pic:pic>
              </a:graphicData>
            </a:graphic>
          </wp:inline>
        </w:drawing>
      </w:r>
      <w:r>
        <w:rPr>
          <w:sz w:val="24"/>
        </w:rPr>
        <w:t xml:space="preserve"> рассчитываются по следующим формулам:</w:t>
      </w:r>
    </w:p>
    <w:p>
      <w:pPr>
        <w:pStyle w:val="0"/>
        <w:jc w:val="both"/>
      </w:pPr>
      <w:r>
        <w:rPr>
          <w:sz w:val="24"/>
        </w:rPr>
      </w:r>
    </w:p>
    <w:p>
      <w:pPr>
        <w:pStyle w:val="0"/>
        <w:jc w:val="center"/>
      </w:pPr>
      <w:r>
        <w:rPr>
          <w:position w:val="-10"/>
        </w:rPr>
        <w:drawing>
          <wp:inline distT="0" distB="0" distL="0" distR="0">
            <wp:extent cx="126873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
                      <a:extLst>
                        <a:ext uri="{28A0092B-C50C-407E-A947-70E740481C1C}">
                          <a14:useLocalDpi xmlns:a14="http://schemas.microsoft.com/office/drawing/2010/main" val="0"/>
                        </a:ext>
                      </a:extLst>
                    </a:blip>
                    <a:srcRect/>
                    <a:stretch>
                      <a:fillRect/>
                    </a:stretch>
                  </pic:blipFill>
                  <pic:spPr bwMode="auto">
                    <a:xfrm>
                      <a:off x="0" y="0"/>
                      <a:ext cx="1268730" cy="285750"/>
                    </a:xfrm>
                    <a:prstGeom prst="rect">
                      <a:avLst/>
                    </a:prstGeom>
                    <a:noFill/>
                    <a:ln>
                      <a:noFill/>
                    </a:ln>
                  </pic:spPr>
                </pic:pic>
              </a:graphicData>
            </a:graphic>
          </wp:inline>
        </w:drawing>
      </w:r>
    </w:p>
    <w:p>
      <w:pPr>
        <w:pStyle w:val="0"/>
        <w:jc w:val="both"/>
      </w:pPr>
      <w:r>
        <w:rPr>
          <w:sz w:val="24"/>
        </w:rPr>
      </w:r>
    </w:p>
    <w:p>
      <w:pPr>
        <w:pStyle w:val="0"/>
        <w:jc w:val="center"/>
      </w:pPr>
      <w:r>
        <w:rPr>
          <w:position w:val="-10"/>
        </w:rPr>
        <w:drawing>
          <wp:inline distT="0" distB="0" distL="0" distR="0">
            <wp:extent cx="126873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2">
                      <a:extLst>
                        <a:ext uri="{28A0092B-C50C-407E-A947-70E740481C1C}">
                          <a14:useLocalDpi xmlns:a14="http://schemas.microsoft.com/office/drawing/2010/main" val="0"/>
                        </a:ext>
                      </a:extLst>
                    </a:blip>
                    <a:srcRect/>
                    <a:stretch>
                      <a:fillRect/>
                    </a:stretch>
                  </pic:blipFill>
                  <pic:spPr bwMode="auto">
                    <a:xfrm>
                      <a:off x="0" y="0"/>
                      <a:ext cx="1268730" cy="285750"/>
                    </a:xfrm>
                    <a:prstGeom prst="rect">
                      <a:avLst/>
                    </a:prstGeom>
                    <a:noFill/>
                    <a:ln>
                      <a:noFill/>
                    </a:ln>
                  </pic:spPr>
                </pic:pic>
              </a:graphicData>
            </a:graphic>
          </wp:inline>
        </w:drawing>
      </w:r>
    </w:p>
    <w:p>
      <w:pPr>
        <w:pStyle w:val="0"/>
        <w:jc w:val="both"/>
      </w:pPr>
      <w:r>
        <w:rPr>
          <w:sz w:val="24"/>
        </w:rPr>
      </w:r>
    </w:p>
    <w:p>
      <w:pPr>
        <w:pStyle w:val="0"/>
        <w:jc w:val="center"/>
      </w:pPr>
      <w:r>
        <w:rPr>
          <w:position w:val="-10"/>
        </w:rPr>
        <w:drawing>
          <wp:inline distT="0" distB="0" distL="0" distR="0">
            <wp:extent cx="126873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3">
                      <a:extLst>
                        <a:ext uri="{28A0092B-C50C-407E-A947-70E740481C1C}">
                          <a14:useLocalDpi xmlns:a14="http://schemas.microsoft.com/office/drawing/2010/main" val="0"/>
                        </a:ext>
                      </a:extLst>
                    </a:blip>
                    <a:srcRect/>
                    <a:stretch>
                      <a:fillRect/>
                    </a:stretch>
                  </pic:blipFill>
                  <pic:spPr bwMode="auto">
                    <a:xfrm>
                      <a:off x="0" y="0"/>
                      <a:ext cx="1268730" cy="285750"/>
                    </a:xfrm>
                    <a:prstGeom prst="rect">
                      <a:avLst/>
                    </a:prstGeom>
                    <a:noFill/>
                    <a:ln>
                      <a:noFill/>
                    </a:ln>
                  </pic:spPr>
                </pic:pic>
              </a:graphicData>
            </a:graphic>
          </wp:inline>
        </w:drawing>
      </w:r>
    </w:p>
    <w:p>
      <w:pPr>
        <w:pStyle w:val="0"/>
        <w:jc w:val="both"/>
      </w:pPr>
      <w:r>
        <w:rPr>
          <w:sz w:val="24"/>
        </w:rPr>
      </w:r>
    </w:p>
    <w:p>
      <w:pPr>
        <w:pStyle w:val="0"/>
        <w:jc w:val="center"/>
      </w:pPr>
      <w:r>
        <w:rPr>
          <w:position w:val="-10"/>
        </w:rPr>
        <w:drawing>
          <wp:inline distT="0" distB="0" distL="0" distR="0">
            <wp:extent cx="126873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4">
                      <a:extLst>
                        <a:ext uri="{28A0092B-C50C-407E-A947-70E740481C1C}">
                          <a14:useLocalDpi xmlns:a14="http://schemas.microsoft.com/office/drawing/2010/main" val="0"/>
                        </a:ext>
                      </a:extLst>
                    </a:blip>
                    <a:srcRect/>
                    <a:stretch>
                      <a:fillRect/>
                    </a:stretch>
                  </pic:blipFill>
                  <pic:spPr bwMode="auto">
                    <a:xfrm>
                      <a:off x="0" y="0"/>
                      <a:ext cx="1268730" cy="285750"/>
                    </a:xfrm>
                    <a:prstGeom prst="rect">
                      <a:avLst/>
                    </a:prstGeom>
                    <a:noFill/>
                    <a:ln>
                      <a:noFill/>
                    </a:ln>
                  </pic:spPr>
                </pic:pic>
              </a:graphicData>
            </a:graphic>
          </wp:inline>
        </w:drawing>
      </w:r>
    </w:p>
    <w:p>
      <w:pPr>
        <w:pStyle w:val="0"/>
        <w:jc w:val="both"/>
      </w:pPr>
      <w:r>
        <w:rPr>
          <w:sz w:val="24"/>
        </w:rPr>
      </w:r>
    </w:p>
    <w:p>
      <w:pPr>
        <w:pStyle w:val="0"/>
        <w:jc w:val="center"/>
      </w:pPr>
      <w:r>
        <w:rPr>
          <w:position w:val="-13"/>
        </w:rPr>
        <w:drawing>
          <wp:inline distT="0" distB="0" distL="0" distR="0">
            <wp:extent cx="1405890" cy="3200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5">
                      <a:extLst>
                        <a:ext uri="{28A0092B-C50C-407E-A947-70E740481C1C}">
                          <a14:useLocalDpi xmlns:a14="http://schemas.microsoft.com/office/drawing/2010/main" val="0"/>
                        </a:ext>
                      </a:extLst>
                    </a:blip>
                    <a:srcRect/>
                    <a:stretch>
                      <a:fillRect/>
                    </a:stretch>
                  </pic:blipFill>
                  <pic:spPr bwMode="auto">
                    <a:xfrm>
                      <a:off x="0" y="0"/>
                      <a:ext cx="1405890" cy="320040"/>
                    </a:xfrm>
                    <a:prstGeom prst="rect">
                      <a:avLst/>
                    </a:prstGeom>
                    <a:noFill/>
                    <a:ln>
                      <a:noFill/>
                    </a:ln>
                  </pic:spPr>
                </pic:pic>
              </a:graphicData>
            </a:graphic>
          </wp:inline>
        </w:drawing>
      </w:r>
    </w:p>
    <w:p>
      <w:pPr>
        <w:pStyle w:val="0"/>
        <w:jc w:val="both"/>
      </w:pPr>
      <w:r>
        <w:rPr>
          <w:sz w:val="24"/>
        </w:rPr>
      </w:r>
    </w:p>
    <w:p>
      <w:pPr>
        <w:pStyle w:val="0"/>
        <w:jc w:val="center"/>
      </w:pPr>
      <w:r>
        <w:rPr>
          <w:position w:val="-13"/>
        </w:rPr>
        <w:drawing>
          <wp:inline distT="0" distB="0" distL="0" distR="0">
            <wp:extent cx="1405890" cy="3200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6">
                      <a:extLst>
                        <a:ext uri="{28A0092B-C50C-407E-A947-70E740481C1C}">
                          <a14:useLocalDpi xmlns:a14="http://schemas.microsoft.com/office/drawing/2010/main" val="0"/>
                        </a:ext>
                      </a:extLst>
                    </a:blip>
                    <a:srcRect/>
                    <a:stretch>
                      <a:fillRect/>
                    </a:stretch>
                  </pic:blipFill>
                  <pic:spPr bwMode="auto">
                    <a:xfrm>
                      <a:off x="0" y="0"/>
                      <a:ext cx="1405890" cy="32004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5) если при технологическом присоединении согласно техническим условиям срок выполнения мероприятий по технологическому присоединению предусмотрен на период два года, то стоимость мероприятий, учитываемых в плате, рассчитанной в год подачи заявки, индексируется следующим образом:</w:t>
      </w:r>
    </w:p>
    <w:p>
      <w:pPr>
        <w:pStyle w:val="0"/>
        <w:spacing w:before="240" w:line-rule="auto"/>
        <w:ind w:firstLine="540"/>
        <w:jc w:val="both"/>
      </w:pPr>
      <w:r>
        <w:rPr>
          <w:sz w:val="24"/>
        </w:rPr>
        <w:t xml:space="preserve">50% стоимости мероприятий, предусмотренных техническими условиями, определяется в ценах года, соответствующего году утверждения платы;</w:t>
      </w:r>
    </w:p>
    <w:p>
      <w:pPr>
        <w:pStyle w:val="0"/>
        <w:spacing w:before="240" w:line-rule="auto"/>
        <w:ind w:firstLine="540"/>
        <w:jc w:val="both"/>
      </w:pPr>
      <w:r>
        <w:rPr>
          <w:sz w:val="24"/>
        </w:rPr>
        <w:t xml:space="preserve">50% стоимости мероприятий, предусмотренных техническими условиями, умножается на прогнозный индекс цен производителей по подразделу "Строительство" раздела "Капитальные вложения (инвестиции)" на год, следующий за годом утверждения платы, публикуемый Министерством экономического развития Российской Федерации (при отсутствии данного индекса используется индекс потребительских цен);</w:t>
      </w:r>
    </w:p>
    <w:p>
      <w:pPr>
        <w:pStyle w:val="0"/>
        <w:spacing w:before="240" w:line-rule="auto"/>
        <w:ind w:firstLine="540"/>
        <w:jc w:val="both"/>
      </w:pPr>
      <w:r>
        <w:rPr>
          <w:sz w:val="24"/>
        </w:rPr>
        <w:t xml:space="preserve">6) если при технологическом присоединении по инициативе (обращению) Заявителя, максимальная мощность энергопринимающих устройств которого составляет не менее 670 кВт, установлены сроки выполнения мероприятий по технологическому присоединению более двух лет (но не более четырех лет), то стоимость мероприятий, учитываемых в плате, рассчитанной в год подачи заявки, индексируется следующим образом:</w:t>
      </w:r>
    </w:p>
    <w:p>
      <w:pPr>
        <w:pStyle w:val="0"/>
        <w:spacing w:before="240" w:line-rule="auto"/>
        <w:ind w:firstLine="540"/>
        <w:jc w:val="both"/>
      </w:pPr>
      <w:r>
        <w:rPr>
          <w:sz w:val="24"/>
        </w:rPr>
        <w:t xml:space="preserve">50% стоимости мероприятий, предусмотренных техническими условиями, умножается на произведение прогнозных индексов цен производителей по подразделу "Строительство" раздела "Капитальные вложения (инвестиции)", публикуемых Министерством экономического развития Российской Федерации на соответствующий год (при отсутствии данного индекса используется индекс потребительских цен на соответствующий год) за половину периода, указанного в технических условиях, начиная с года, следующего за годом утверждения платы;</w:t>
      </w:r>
    </w:p>
    <w:p>
      <w:pPr>
        <w:pStyle w:val="0"/>
        <w:spacing w:before="240" w:line-rule="auto"/>
        <w:ind w:firstLine="540"/>
        <w:jc w:val="both"/>
      </w:pPr>
      <w:r>
        <w:rPr>
          <w:sz w:val="24"/>
        </w:rPr>
        <w:t xml:space="preserve">50% стоимости мероприятий, предусмотренных техническими условиями, умножается на произведение прогнозных индексов цен производителей по подразделу "Строительство" раздела "Капитальные вложения (инвестиции)", публикуемых Министерством экономического развития Российской Федерации на соответствующий год (при отсутствии данного индекса используется индекс потребительских цен на соответствующий год) за период, указанный в технических условиях, начиная с года, следующего за годом утверждения платы.</w:t>
      </w:r>
    </w:p>
    <w:p>
      <w:pPr>
        <w:pStyle w:val="0"/>
        <w:spacing w:before="240" w:line-rule="auto"/>
        <w:ind w:firstLine="540"/>
        <w:jc w:val="both"/>
      </w:pPr>
      <w:r>
        <w:rPr>
          <w:sz w:val="24"/>
        </w:rPr>
        <w:t xml:space="preserve">Для каждого конкретного заявителя при определении размера платы на основании утвержденных регулирующим органом ставок платы применяются те ставки, которые согласно поданной заявке соответствуют способу технологического присоединения.</w:t>
      </w:r>
    </w:p>
    <w:p>
      <w:pPr>
        <w:pStyle w:val="0"/>
        <w:jc w:val="both"/>
      </w:pPr>
      <w:r>
        <w:rPr>
          <w:sz w:val="24"/>
        </w:rPr>
      </w:r>
    </w:p>
    <w:p>
      <w:pPr>
        <w:pStyle w:val="0"/>
        <w:jc w:val="right"/>
      </w:pPr>
      <w:r>
        <w:rPr>
          <w:sz w:val="24"/>
        </w:rPr>
        <w:t xml:space="preserve">Начальник управления</w:t>
      </w:r>
    </w:p>
    <w:p>
      <w:pPr>
        <w:pStyle w:val="0"/>
        <w:jc w:val="right"/>
      </w:pPr>
      <w:r>
        <w:rPr>
          <w:sz w:val="24"/>
        </w:rPr>
        <w:t xml:space="preserve">М.В.БОЕВ</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управления энергетики и тарифов Липецкой обл. от 29.11.2024 N 57/3</w:t>
            <w:br/>
            <w:t>"Об установлении стандартизированных та...</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31.07.2025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483415&amp;date=31.07.2025" TargetMode = "External"/>
	<Relationship Id="rId8" Type="http://schemas.openxmlformats.org/officeDocument/2006/relationships/hyperlink" Target="https://login.consultant.ru/link/?req=doc&amp;base=LAW&amp;n=499200&amp;date=31.07.2025" TargetMode = "External"/>
	<Relationship Id="rId9" Type="http://schemas.openxmlformats.org/officeDocument/2006/relationships/hyperlink" Target="https://login.consultant.ru/link/?req=doc&amp;base=LAW&amp;n=495192&amp;date=31.07.2025" TargetMode = "External"/>
	<Relationship Id="rId10" Type="http://schemas.openxmlformats.org/officeDocument/2006/relationships/hyperlink" Target="https://login.consultant.ru/link/?req=doc&amp;base=LAW&amp;n=495525&amp;date=31.07.2025" TargetMode = "External"/>
	<Relationship Id="rId11" Type="http://schemas.openxmlformats.org/officeDocument/2006/relationships/hyperlink" Target="https://login.consultant.ru/link/?req=doc&amp;base=LAW&amp;n=495169&amp;date=31.07.2025" TargetMode = "External"/>
	<Relationship Id="rId12" Type="http://schemas.openxmlformats.org/officeDocument/2006/relationships/hyperlink" Target="https://login.consultant.ru/link/?req=doc&amp;base=RLAW220&amp;n=142147&amp;date=31.07.2025&amp;dst=100036&amp;field=134" TargetMode = "External"/>
	<Relationship Id="rId13" Type="http://schemas.openxmlformats.org/officeDocument/2006/relationships/hyperlink" Target="https://login.consultant.ru/link/?req=doc&amp;base=LAW&amp;n=372860&amp;date=31.07.2025" TargetMode = "External"/>
	<Relationship Id="rId14" Type="http://schemas.openxmlformats.org/officeDocument/2006/relationships/hyperlink" Target="https://login.consultant.ru/link/?req=doc&amp;base=LAW&amp;n=509322&amp;date=31.07.2025&amp;dst=28&amp;field=134" TargetMode = "External"/>
	<Relationship Id="rId15" Type="http://schemas.openxmlformats.org/officeDocument/2006/relationships/hyperlink" Target="https://login.consultant.ru/link/?req=doc&amp;base=LAW&amp;n=509322&amp;date=31.07.2025&amp;dst=58&amp;field=134" TargetMode = "External"/>
	<Relationship Id="rId16" Type="http://schemas.openxmlformats.org/officeDocument/2006/relationships/hyperlink" Target="https://login.consultant.ru/link/?req=doc&amp;base=LAW&amp;n=509322&amp;date=31.07.2025&amp;dst=100537&amp;field=134" TargetMode = "External"/>
	<Relationship Id="rId17" Type="http://schemas.openxmlformats.org/officeDocument/2006/relationships/hyperlink" Target="https://login.consultant.ru/link/?req=doc&amp;base=LAW&amp;n=509322&amp;date=31.07.2025&amp;dst=114&amp;field=134" TargetMode = "External"/>
	<Relationship Id="rId18" Type="http://schemas.openxmlformats.org/officeDocument/2006/relationships/hyperlink" Target="https://login.consultant.ru/link/?req=doc&amp;base=LAW&amp;n=483022&amp;date=31.07.2025&amp;dst=271&amp;field=134" TargetMode = "External"/>
	<Relationship Id="rId19" Type="http://schemas.openxmlformats.org/officeDocument/2006/relationships/hyperlink" Target="https://login.consultant.ru/link/?req=doc&amp;base=LAW&amp;n=470690&amp;date=31.07.2025&amp;dst=19&amp;field=134" TargetMode = "External"/>
	<Relationship Id="rId20" Type="http://schemas.openxmlformats.org/officeDocument/2006/relationships/hyperlink" Target="https://login.consultant.ru/link/?req=doc&amp;base=LAW&amp;n=466514&amp;date=31.07.2025&amp;dst=5&amp;field=134" TargetMode = "External"/>
	<Relationship Id="rId21" Type="http://schemas.openxmlformats.org/officeDocument/2006/relationships/hyperlink" Target="https://login.consultant.ru/link/?req=doc&amp;base=LAW&amp;n=507299&amp;date=31.07.2025&amp;dst=105904&amp;field=134" TargetMode = "External"/>
	<Relationship Id="rId22" Type="http://schemas.openxmlformats.org/officeDocument/2006/relationships/hyperlink" Target="https://login.consultant.ru/link/?req=doc&amp;base=LAW&amp;n=466512&amp;date=31.07.2025&amp;dst=100008&amp;field=134" TargetMode = "External"/>
	<Relationship Id="rId23" Type="http://schemas.openxmlformats.org/officeDocument/2006/relationships/hyperlink" Target="https://login.consultant.ru/link/?req=doc&amp;base=LAW&amp;n=181977&amp;date=31.07.2025&amp;dst=100005&amp;field=134" TargetMode = "External"/>
	<Relationship Id="rId24" Type="http://schemas.openxmlformats.org/officeDocument/2006/relationships/hyperlink" Target="https://login.consultant.ru/link/?req=doc&amp;base=LAW&amp;n=181977&amp;date=31.07.2025&amp;dst=4&amp;field=134" TargetMode = "External"/>
	<Relationship Id="rId25" Type="http://schemas.openxmlformats.org/officeDocument/2006/relationships/hyperlink" Target="https://login.consultant.ru/link/?req=doc&amp;base=LAW&amp;n=41141&amp;date=31.07.2025" TargetMode = "External"/>
	<Relationship Id="rId26" Type="http://schemas.openxmlformats.org/officeDocument/2006/relationships/hyperlink" Target="https://login.consultant.ru/link/?req=doc&amp;base=LAW&amp;n=495192&amp;date=31.07.2025&amp;dst=101483&amp;field=134" TargetMode = "External"/>
	<Relationship Id="rId27" Type="http://schemas.openxmlformats.org/officeDocument/2006/relationships/hyperlink" Target="https://login.consultant.ru/link/?req=doc&amp;base=LAW&amp;n=495192&amp;date=31.07.2025&amp;dst=101504&amp;field=134" TargetMode = "External"/>
	<Relationship Id="rId28" Type="http://schemas.openxmlformats.org/officeDocument/2006/relationships/hyperlink" Target="https://login.consultant.ru/link/?req=doc&amp;base=LAW&amp;n=495192&amp;date=31.07.2025&amp;dst=101508&amp;field=134" TargetMode = "External"/>
	<Relationship Id="rId29" Type="http://schemas.openxmlformats.org/officeDocument/2006/relationships/hyperlink" Target="https://login.consultant.ru/link/?req=doc&amp;base=LAW&amp;n=495192&amp;date=31.07.2025&amp;dst=101483&amp;field=134" TargetMode = "External"/>
	<Relationship Id="rId30" Type="http://schemas.openxmlformats.org/officeDocument/2006/relationships/hyperlink" Target="https://login.consultant.ru/link/?req=doc&amp;base=LAW&amp;n=495192&amp;date=31.07.2025&amp;dst=101486&amp;field=134" TargetMode = "External"/>
	<Relationship Id="rId31" Type="http://schemas.openxmlformats.org/officeDocument/2006/relationships/hyperlink" Target="https://login.consultant.ru/link/?req=doc&amp;base=LAW&amp;n=495192&amp;date=31.07.2025&amp;dst=101487&amp;field=134" TargetMode = "External"/>
	<Relationship Id="rId32" Type="http://schemas.openxmlformats.org/officeDocument/2006/relationships/hyperlink" Target="https://login.consultant.ru/link/?req=doc&amp;base=LAW&amp;n=495192&amp;date=31.07.2025&amp;dst=101930&amp;field=134" TargetMode = "External"/>
	<Relationship Id="rId33" Type="http://schemas.openxmlformats.org/officeDocument/2006/relationships/hyperlink" Target="https://login.consultant.ru/link/?req=doc&amp;base=LAW&amp;n=495192&amp;date=31.07.2025&amp;dst=101508&amp;field=134" TargetMode = "External"/>
	<Relationship Id="rId34" Type="http://schemas.openxmlformats.org/officeDocument/2006/relationships/hyperlink" Target="https://login.consultant.ru/link/?req=doc&amp;base=LAW&amp;n=495192&amp;date=31.07.2025&amp;dst=100776&amp;field=134" TargetMode = "External"/>
	<Relationship Id="rId35" Type="http://schemas.openxmlformats.org/officeDocument/2006/relationships/hyperlink" Target="https://login.consultant.ru/link/?req=doc&amp;base=LAW&amp;n=495192&amp;date=31.07.2025&amp;dst=101304&amp;field=134" TargetMode = "External"/>
	<Relationship Id="rId36" Type="http://schemas.openxmlformats.org/officeDocument/2006/relationships/hyperlink" Target="https://login.consultant.ru/link/?req=doc&amp;base=LAW&amp;n=495192&amp;date=31.07.2025&amp;dst=101508&amp;field=134" TargetMode = "External"/>
	<Relationship Id="rId37" Type="http://schemas.openxmlformats.org/officeDocument/2006/relationships/hyperlink" Target="https://login.consultant.ru/link/?req=doc&amp;base=LAW&amp;n=495192&amp;date=31.07.2025&amp;dst=100776&amp;field=134" TargetMode = "External"/>
	<Relationship Id="rId38" Type="http://schemas.openxmlformats.org/officeDocument/2006/relationships/hyperlink" Target="https://login.consultant.ru/link/?req=doc&amp;base=LAW&amp;n=495192&amp;date=31.07.2025&amp;dst=101508&amp;field=134" TargetMode = "External"/>
	<Relationship Id="rId39" Type="http://schemas.openxmlformats.org/officeDocument/2006/relationships/hyperlink" Target="https://login.consultant.ru/link/?req=doc&amp;base=LAW&amp;n=495192&amp;date=31.07.2025&amp;dst=101483&amp;field=134" TargetMode = "External"/>
	<Relationship Id="rId40" Type="http://schemas.openxmlformats.org/officeDocument/2006/relationships/hyperlink" Target="https://login.consultant.ru/link/?req=doc&amp;base=LAW&amp;n=495192&amp;date=31.07.2025&amp;dst=101504&amp;field=134" TargetMode = "External"/>
	<Relationship Id="rId41" Type="http://schemas.openxmlformats.org/officeDocument/2006/relationships/hyperlink" Target="https://login.consultant.ru/link/?req=doc&amp;base=LAW&amp;n=495192&amp;date=31.07.2025&amp;dst=101483&amp;field=134" TargetMode = "External"/>
	<Relationship Id="rId42" Type="http://schemas.openxmlformats.org/officeDocument/2006/relationships/hyperlink" Target="https://login.consultant.ru/link/?req=doc&amp;base=RLAW220&amp;n=142212&amp;date=31.07.2025" TargetMode = "External"/>
	<Relationship Id="rId43" Type="http://schemas.openxmlformats.org/officeDocument/2006/relationships/hyperlink" Target="www.pravo.gov.ru" TargetMode = "External"/>
	<Relationship Id="rId44" Type="http://schemas.openxmlformats.org/officeDocument/2006/relationships/hyperlink" Target="https://login.consultant.ru/link/?req=doc&amp;base=RLAW220&amp;n=134761&amp;date=31.07.2025" TargetMode = "External"/>
	<Relationship Id="rId45" Type="http://schemas.openxmlformats.org/officeDocument/2006/relationships/hyperlink" Target="https://login.consultant.ru/link/?req=doc&amp;base=LAW&amp;n=495525&amp;date=31.07.2025&amp;dst=100096&amp;field=134" TargetMode = "External"/>
	<Relationship Id="rId46" Type="http://schemas.openxmlformats.org/officeDocument/2006/relationships/hyperlink" Target="https://login.consultant.ru/link/?req=doc&amp;base=LAW&amp;n=495525&amp;date=31.07.2025&amp;dst=100097&amp;field=134" TargetMode = "External"/>
	<Relationship Id="rId47" Type="http://schemas.openxmlformats.org/officeDocument/2006/relationships/hyperlink" Target="https://login.consultant.ru/link/?req=doc&amp;base=LAW&amp;n=495525&amp;date=31.07.2025&amp;dst=100096&amp;field=134" TargetMode = "External"/>
	<Relationship Id="rId48" Type="http://schemas.openxmlformats.org/officeDocument/2006/relationships/hyperlink" Target="https://login.consultant.ru/link/?req=doc&amp;base=LAW&amp;n=495525&amp;date=31.07.2025&amp;dst=100097&amp;field=134" TargetMode = "External"/>
	<Relationship Id="rId49" Type="http://schemas.openxmlformats.org/officeDocument/2006/relationships/hyperlink" Target="https://login.consultant.ru/link/?req=doc&amp;base=LAW&amp;n=495525&amp;date=31.07.2025&amp;dst=100060&amp;field=134" TargetMode = "External"/>
	<Relationship Id="rId50" Type="http://schemas.openxmlformats.org/officeDocument/2006/relationships/image" Target="media/image2.wmf"/>
	<Relationship Id="rId51" Type="http://schemas.openxmlformats.org/officeDocument/2006/relationships/image" Target="media/image3.wmf"/>
	<Relationship Id="rId52" Type="http://schemas.openxmlformats.org/officeDocument/2006/relationships/image" Target="media/image4.wmf"/>
	<Relationship Id="rId53" Type="http://schemas.openxmlformats.org/officeDocument/2006/relationships/image" Target="media/image5.wmf"/>
	<Relationship Id="rId54" Type="http://schemas.openxmlformats.org/officeDocument/2006/relationships/hyperlink" Target="https://login.consultant.ru/link/?req=doc&amp;base=LAW&amp;n=495192&amp;date=31.07.2025&amp;dst=101304&amp;field=134" TargetMode = "External"/>
	<Relationship Id="rId55" Type="http://schemas.openxmlformats.org/officeDocument/2006/relationships/image" Target="media/image6.wmf"/>
	<Relationship Id="rId56" Type="http://schemas.openxmlformats.org/officeDocument/2006/relationships/image" Target="media/image7.wmf"/>
	<Relationship Id="rId57" Type="http://schemas.openxmlformats.org/officeDocument/2006/relationships/image" Target="media/image8.wmf"/>
	<Relationship Id="rId58" Type="http://schemas.openxmlformats.org/officeDocument/2006/relationships/image" Target="media/image9.wmf"/>
	<Relationship Id="rId59" Type="http://schemas.openxmlformats.org/officeDocument/2006/relationships/image" Target="media/image10.wmf"/>
	<Relationship Id="rId60" Type="http://schemas.openxmlformats.org/officeDocument/2006/relationships/image" Target="media/image11.wmf"/>
	<Relationship Id="rId61" Type="http://schemas.openxmlformats.org/officeDocument/2006/relationships/image" Target="media/image12.wmf"/>
	<Relationship Id="rId62" Type="http://schemas.openxmlformats.org/officeDocument/2006/relationships/image" Target="media/image13.wmf"/>
	<Relationship Id="rId63" Type="http://schemas.openxmlformats.org/officeDocument/2006/relationships/image" Target="media/image14.wmf"/>
	<Relationship Id="rId64" Type="http://schemas.openxmlformats.org/officeDocument/2006/relationships/image" Target="media/image15.wmf"/>
	<Relationship Id="rId65" Type="http://schemas.openxmlformats.org/officeDocument/2006/relationships/image" Target="media/image16.wmf"/>
	<Relationship Id="rId66" Type="http://schemas.openxmlformats.org/officeDocument/2006/relationships/image" Target="media/image17.wmf"/>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управления энергетики и тарифов Липецкой обл. от 29.11.2024 N 57/3
"Об установлении стандартизированных тарифных ставок и формул платы за технологическое присоединение к электрическим сетям территориальных сетевых организаций, осуществляющих свою деятельность на территории Липецкой области, на 2025 год"</dc:title>
  <dcterms:created xsi:type="dcterms:W3CDTF">2025-07-31T05:33:19Z</dcterms:created>
</cp:coreProperties>
</file>